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2E1" w:rsidRPr="003B72E1" w:rsidRDefault="003B72E1" w:rsidP="003B72E1">
      <w:pPr>
        <w:spacing w:after="0" w:line="360" w:lineRule="auto"/>
        <w:jc w:val="both"/>
        <w:rPr>
          <w:rFonts w:ascii="Palatino Linotype" w:hAnsi="Palatino Linotype" w:cs="Arial"/>
          <w:b/>
          <w:sz w:val="24"/>
          <w:szCs w:val="24"/>
        </w:rPr>
      </w:pPr>
      <w:bookmarkStart w:id="0" w:name="_GoBack"/>
      <w:bookmarkEnd w:id="0"/>
      <w:r w:rsidRPr="003B72E1">
        <w:rPr>
          <w:rFonts w:ascii="Palatino Linotype" w:hAnsi="Palatino Linotype" w:cs="Arial"/>
          <w:b/>
          <w:sz w:val="24"/>
          <w:szCs w:val="24"/>
        </w:rPr>
        <w:t>VOTO PARTICULAR DEL COMISIONADO JOSÉ GUADALUPE LUNA HERNÁNDEZ EN EL RECURSO DE REVISIÓN 04157/INFOEM/IP/RR/2018 y acumulado.</w:t>
      </w:r>
    </w:p>
    <w:p w:rsidR="003B72E1" w:rsidRPr="003B72E1" w:rsidRDefault="003B72E1" w:rsidP="003B72E1">
      <w:pPr>
        <w:spacing w:after="0" w:line="360" w:lineRule="auto"/>
        <w:jc w:val="both"/>
        <w:rPr>
          <w:rFonts w:ascii="Palatino Linotype" w:hAnsi="Palatino Linotype" w:cs="Arial"/>
          <w:b/>
          <w:sz w:val="24"/>
          <w:szCs w:val="24"/>
        </w:rPr>
      </w:pPr>
    </w:p>
    <w:p w:rsidR="003B72E1" w:rsidRPr="003B72E1" w:rsidRDefault="003B72E1" w:rsidP="003B72E1">
      <w:pPr>
        <w:spacing w:after="0" w:line="360" w:lineRule="auto"/>
        <w:jc w:val="both"/>
        <w:rPr>
          <w:rFonts w:ascii="Palatino Linotype" w:hAnsi="Palatino Linotype" w:cs="Arial"/>
          <w:sz w:val="24"/>
          <w:szCs w:val="24"/>
        </w:rPr>
      </w:pPr>
      <w:r w:rsidRPr="003B72E1">
        <w:rPr>
          <w:rFonts w:ascii="Palatino Linotype" w:hAnsi="Palatino Linotype" w:cs="Arial"/>
          <w:b/>
          <w:sz w:val="24"/>
          <w:szCs w:val="24"/>
        </w:rPr>
        <w:t xml:space="preserve">Resumen del voto: </w:t>
      </w:r>
      <w:r w:rsidRPr="003B72E1">
        <w:rPr>
          <w:rFonts w:ascii="Palatino Linotype" w:hAnsi="Palatino Linotype" w:cs="Arial"/>
          <w:sz w:val="24"/>
          <w:szCs w:val="24"/>
        </w:rPr>
        <w:t xml:space="preserve">El presente voto particular  aborda la importancia que tiene la Igualdad de Género y Erradicación de Violencia, además de que el Sujeto Obligado ha señalado en sus informes de actividades que realizó acciones en favor de la equidad de género y combatió la violencia dentro de la Institución, por lo que se aprecia el interés con el tema, en consecuencia, es necesario que realice las acciones conducentes para estar en posibilidades de instaurar de manera pronta una Unidad de Género, conforme lo dispone la </w:t>
      </w:r>
      <w:r w:rsidRPr="003B72E1">
        <w:rPr>
          <w:rFonts w:ascii="Palatino Linotype" w:hAnsi="Palatino Linotype" w:cs="Arial"/>
          <w:color w:val="000000" w:themeColor="text1"/>
          <w:sz w:val="24"/>
        </w:rPr>
        <w:t>Ley de Igualdad de Trato y Oportunidades entre Mujeres y Hombres del Estado de México.</w:t>
      </w:r>
    </w:p>
    <w:p w:rsidR="003B72E1" w:rsidRPr="003B72E1" w:rsidRDefault="00110A8D" w:rsidP="003B72E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66040</wp:posOffset>
                </wp:positionV>
                <wp:extent cx="5629275" cy="2628900"/>
                <wp:effectExtent l="19050" t="19050" r="28575" b="19050"/>
                <wp:wrapNone/>
                <wp:docPr id="2" name="Conector recto 2"/>
                <wp:cNvGraphicFramePr/>
                <a:graphic xmlns:a="http://schemas.openxmlformats.org/drawingml/2006/main">
                  <a:graphicData uri="http://schemas.microsoft.com/office/word/2010/wordprocessingShape">
                    <wps:wsp>
                      <wps:cNvCnPr/>
                      <wps:spPr>
                        <a:xfrm>
                          <a:off x="0" y="0"/>
                          <a:ext cx="5629275" cy="26289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5DBF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2pt" to="444.45pt,2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" strokecolor="#5b9bd5 [3204]" strokeweight="2.25pt">
                <v:stroke joinstyle="miter"/>
              </v:line>
            </w:pict>
          </mc:Fallback>
        </mc:AlternateContent>
      </w:r>
    </w:p>
    <w:p w:rsidR="003B72E1" w:rsidRPr="003B72E1" w:rsidRDefault="003B72E1" w:rsidP="003B72E1">
      <w:pPr>
        <w:spacing w:after="0" w:line="360" w:lineRule="auto"/>
        <w:jc w:val="both"/>
        <w:rPr>
          <w:rFonts w:ascii="Palatino Linotype" w:hAnsi="Palatino Linotype" w:cs="Arial"/>
          <w:sz w:val="24"/>
          <w:szCs w:val="24"/>
        </w:rPr>
      </w:pPr>
    </w:p>
    <w:p w:rsidR="003B72E1" w:rsidRPr="003B72E1" w:rsidRDefault="003B72E1" w:rsidP="003B72E1">
      <w:pPr>
        <w:spacing w:after="0" w:line="360" w:lineRule="auto"/>
        <w:jc w:val="both"/>
        <w:rPr>
          <w:rFonts w:ascii="Palatino Linotype" w:hAnsi="Palatino Linotype" w:cs="Arial"/>
          <w:sz w:val="24"/>
          <w:szCs w:val="24"/>
        </w:rPr>
      </w:pPr>
    </w:p>
    <w:p w:rsidR="003B72E1" w:rsidRPr="003B72E1" w:rsidRDefault="003B72E1" w:rsidP="003B72E1">
      <w:pPr>
        <w:spacing w:after="0" w:line="360" w:lineRule="auto"/>
        <w:jc w:val="both"/>
        <w:rPr>
          <w:rFonts w:ascii="Palatino Linotype" w:hAnsi="Palatino Linotype" w:cs="Arial"/>
          <w:sz w:val="24"/>
          <w:szCs w:val="24"/>
        </w:rPr>
      </w:pPr>
    </w:p>
    <w:p w:rsidR="003B72E1" w:rsidRPr="003B72E1" w:rsidRDefault="003B72E1" w:rsidP="003B72E1">
      <w:pPr>
        <w:spacing w:after="0" w:line="360" w:lineRule="auto"/>
        <w:jc w:val="both"/>
        <w:rPr>
          <w:rFonts w:ascii="Palatino Linotype" w:hAnsi="Palatino Linotype" w:cs="Arial"/>
          <w:sz w:val="24"/>
          <w:szCs w:val="24"/>
        </w:rPr>
      </w:pPr>
    </w:p>
    <w:p w:rsidR="003B72E1" w:rsidRPr="003B72E1" w:rsidRDefault="003B72E1" w:rsidP="003B72E1">
      <w:pPr>
        <w:spacing w:after="0" w:line="360" w:lineRule="auto"/>
        <w:jc w:val="both"/>
        <w:rPr>
          <w:rFonts w:ascii="Palatino Linotype" w:hAnsi="Palatino Linotype" w:cs="Arial"/>
          <w:sz w:val="24"/>
          <w:szCs w:val="24"/>
        </w:rPr>
      </w:pPr>
    </w:p>
    <w:p w:rsidR="003B72E1" w:rsidRPr="003B72E1" w:rsidRDefault="003B72E1" w:rsidP="003B72E1">
      <w:pPr>
        <w:spacing w:after="0" w:line="360" w:lineRule="auto"/>
        <w:jc w:val="both"/>
        <w:rPr>
          <w:rFonts w:ascii="Palatino Linotype" w:hAnsi="Palatino Linotype" w:cs="Arial"/>
          <w:sz w:val="24"/>
          <w:szCs w:val="24"/>
        </w:rPr>
      </w:pPr>
    </w:p>
    <w:p w:rsidR="003B72E1" w:rsidRPr="003B72E1" w:rsidRDefault="003B72E1" w:rsidP="003B72E1">
      <w:pPr>
        <w:spacing w:after="0" w:line="360" w:lineRule="auto"/>
        <w:jc w:val="both"/>
        <w:rPr>
          <w:rFonts w:ascii="Palatino Linotype" w:hAnsi="Palatino Linotype" w:cs="Arial"/>
          <w:sz w:val="24"/>
          <w:szCs w:val="24"/>
        </w:rPr>
      </w:pPr>
    </w:p>
    <w:p w:rsidR="003B72E1" w:rsidRPr="003B72E1" w:rsidRDefault="003B72E1" w:rsidP="003B72E1">
      <w:pPr>
        <w:spacing w:after="0" w:line="360" w:lineRule="auto"/>
        <w:jc w:val="both"/>
        <w:rPr>
          <w:rFonts w:ascii="Palatino Linotype" w:hAnsi="Palatino Linotype" w:cs="Arial"/>
          <w:sz w:val="24"/>
          <w:szCs w:val="24"/>
        </w:rPr>
      </w:pPr>
    </w:p>
    <w:sdt>
      <w:sdtPr>
        <w:rPr>
          <w:rFonts w:ascii="Palatino Linotype" w:eastAsiaTheme="minorHAnsi" w:hAnsi="Palatino Linotype" w:cstheme="minorBidi"/>
          <w:b/>
          <w:color w:val="auto"/>
          <w:sz w:val="22"/>
          <w:szCs w:val="24"/>
          <w:lang w:val="es-ES" w:eastAsia="en-US"/>
        </w:rPr>
        <w:id w:val="-1339223820"/>
        <w:docPartObj>
          <w:docPartGallery w:val="Table of Contents"/>
          <w:docPartUnique/>
        </w:docPartObj>
      </w:sdtPr>
      <w:sdtEndPr>
        <w:rPr>
          <w:b w:val="0"/>
          <w:bCs/>
        </w:rPr>
      </w:sdtEndPr>
      <w:sdtContent>
        <w:p w:rsidR="003B72E1" w:rsidRPr="003B72E1" w:rsidRDefault="003B72E1" w:rsidP="003B72E1">
          <w:pPr>
            <w:pStyle w:val="TtulodeTDC"/>
            <w:rPr>
              <w:rFonts w:ascii="Palatino Linotype" w:hAnsi="Palatino Linotype"/>
              <w:szCs w:val="24"/>
              <w:lang w:val="es-ES"/>
            </w:rPr>
          </w:pPr>
          <w:r w:rsidRPr="003B72E1">
            <w:rPr>
              <w:rFonts w:ascii="Palatino Linotype" w:hAnsi="Palatino Linotype"/>
              <w:szCs w:val="24"/>
              <w:lang w:val="es-ES"/>
            </w:rPr>
            <w:t>Índice</w:t>
          </w:r>
        </w:p>
        <w:p w:rsidR="003B72E1" w:rsidRPr="003B72E1" w:rsidRDefault="003B72E1" w:rsidP="003B72E1">
          <w:pPr>
            <w:rPr>
              <w:rFonts w:ascii="Palatino Linotype" w:hAnsi="Palatino Linotype"/>
              <w:sz w:val="24"/>
              <w:szCs w:val="24"/>
              <w:lang w:val="es-ES" w:eastAsia="es-MX"/>
            </w:rPr>
          </w:pPr>
        </w:p>
        <w:p w:rsidR="003B72E1" w:rsidRPr="003B72E1" w:rsidRDefault="003B72E1" w:rsidP="003B72E1">
          <w:pPr>
            <w:rPr>
              <w:rFonts w:ascii="Palatino Linotype" w:hAnsi="Palatino Linotype"/>
              <w:sz w:val="24"/>
              <w:szCs w:val="24"/>
              <w:lang w:val="es-ES" w:eastAsia="es-MX"/>
            </w:rPr>
          </w:pPr>
        </w:p>
        <w:p w:rsidR="003B72E1" w:rsidRDefault="003B72E1">
          <w:pPr>
            <w:pStyle w:val="TDC1"/>
            <w:rPr>
              <w:rFonts w:eastAsiaTheme="minorEastAsia"/>
              <w:noProof/>
              <w:lang w:eastAsia="es-MX"/>
            </w:rPr>
          </w:pPr>
          <w:r w:rsidRPr="003B72E1">
            <w:rPr>
              <w:rFonts w:ascii="Palatino Linotype" w:hAnsi="Palatino Linotype"/>
              <w:b/>
              <w:sz w:val="24"/>
              <w:szCs w:val="24"/>
            </w:rPr>
            <w:fldChar w:fldCharType="begin"/>
          </w:r>
          <w:r w:rsidRPr="003B72E1">
            <w:rPr>
              <w:rFonts w:ascii="Palatino Linotype" w:hAnsi="Palatino Linotype"/>
              <w:b/>
              <w:sz w:val="24"/>
              <w:szCs w:val="24"/>
            </w:rPr>
            <w:instrText xml:space="preserve"> TOC \o "1-3" \h \z \u </w:instrText>
          </w:r>
          <w:r w:rsidRPr="003B72E1">
            <w:rPr>
              <w:rFonts w:ascii="Palatino Linotype" w:hAnsi="Palatino Linotype"/>
              <w:b/>
              <w:sz w:val="24"/>
              <w:szCs w:val="24"/>
            </w:rPr>
            <w:fldChar w:fldCharType="separate"/>
          </w:r>
          <w:hyperlink w:anchor="_Toc535229620" w:history="1">
            <w:r w:rsidRPr="007D0C71">
              <w:rPr>
                <w:rStyle w:val="Hipervnculo"/>
                <w:rFonts w:ascii="Palatino Linotype" w:hAnsi="Palatino Linotype"/>
                <w:b/>
                <w:noProof/>
              </w:rPr>
              <w:t>A.</w:t>
            </w:r>
            <w:r>
              <w:rPr>
                <w:rFonts w:eastAsiaTheme="minorEastAsia"/>
                <w:noProof/>
                <w:lang w:eastAsia="es-MX"/>
              </w:rPr>
              <w:tab/>
            </w:r>
            <w:r w:rsidRPr="007D0C71">
              <w:rPr>
                <w:rStyle w:val="Hipervnculo"/>
                <w:rFonts w:ascii="Palatino Linotype" w:hAnsi="Palatino Linotype"/>
                <w:b/>
                <w:noProof/>
              </w:rPr>
              <w:t>Consideraciones Generales.</w:t>
            </w:r>
            <w:r>
              <w:rPr>
                <w:noProof/>
                <w:webHidden/>
              </w:rPr>
              <w:tab/>
            </w:r>
            <w:r>
              <w:rPr>
                <w:noProof/>
                <w:webHidden/>
              </w:rPr>
              <w:fldChar w:fldCharType="begin"/>
            </w:r>
            <w:r>
              <w:rPr>
                <w:noProof/>
                <w:webHidden/>
              </w:rPr>
              <w:instrText xml:space="preserve"> PAGEREF _Toc535229620 \h </w:instrText>
            </w:r>
            <w:r>
              <w:rPr>
                <w:noProof/>
                <w:webHidden/>
              </w:rPr>
            </w:r>
            <w:r>
              <w:rPr>
                <w:noProof/>
                <w:webHidden/>
              </w:rPr>
              <w:fldChar w:fldCharType="separate"/>
            </w:r>
            <w:r w:rsidR="00F86F26">
              <w:rPr>
                <w:noProof/>
                <w:webHidden/>
              </w:rPr>
              <w:t>3</w:t>
            </w:r>
            <w:r>
              <w:rPr>
                <w:noProof/>
                <w:webHidden/>
              </w:rPr>
              <w:fldChar w:fldCharType="end"/>
            </w:r>
          </w:hyperlink>
        </w:p>
        <w:p w:rsidR="003B72E1" w:rsidRDefault="00A031BA">
          <w:pPr>
            <w:pStyle w:val="TDC1"/>
            <w:rPr>
              <w:rFonts w:eastAsiaTheme="minorEastAsia"/>
              <w:noProof/>
              <w:lang w:eastAsia="es-MX"/>
            </w:rPr>
          </w:pPr>
          <w:hyperlink w:anchor="_Toc535229621" w:history="1">
            <w:r w:rsidR="003B72E1" w:rsidRPr="007D0C71">
              <w:rPr>
                <w:rStyle w:val="Hipervnculo"/>
                <w:rFonts w:ascii="Palatino Linotype" w:hAnsi="Palatino Linotype"/>
                <w:b/>
                <w:noProof/>
              </w:rPr>
              <w:t>B.</w:t>
            </w:r>
            <w:r w:rsidR="003B72E1">
              <w:rPr>
                <w:rFonts w:eastAsiaTheme="minorEastAsia"/>
                <w:noProof/>
                <w:lang w:eastAsia="es-MX"/>
              </w:rPr>
              <w:tab/>
            </w:r>
            <w:r w:rsidR="003B72E1" w:rsidRPr="007D0C71">
              <w:rPr>
                <w:rStyle w:val="Hipervnculo"/>
                <w:rFonts w:ascii="Palatino Linotype" w:hAnsi="Palatino Linotype"/>
                <w:b/>
                <w:noProof/>
              </w:rPr>
              <w:t>Del análisis y estudio al proyecto de resolución.</w:t>
            </w:r>
            <w:r w:rsidR="003B72E1">
              <w:rPr>
                <w:noProof/>
                <w:webHidden/>
              </w:rPr>
              <w:tab/>
            </w:r>
            <w:r w:rsidR="003B72E1">
              <w:rPr>
                <w:noProof/>
                <w:webHidden/>
              </w:rPr>
              <w:fldChar w:fldCharType="begin"/>
            </w:r>
            <w:r w:rsidR="003B72E1">
              <w:rPr>
                <w:noProof/>
                <w:webHidden/>
              </w:rPr>
              <w:instrText xml:space="preserve"> PAGEREF _Toc535229621 \h </w:instrText>
            </w:r>
            <w:r w:rsidR="003B72E1">
              <w:rPr>
                <w:noProof/>
                <w:webHidden/>
              </w:rPr>
            </w:r>
            <w:r w:rsidR="003B72E1">
              <w:rPr>
                <w:noProof/>
                <w:webHidden/>
              </w:rPr>
              <w:fldChar w:fldCharType="separate"/>
            </w:r>
            <w:r w:rsidR="00F86F26">
              <w:rPr>
                <w:noProof/>
                <w:webHidden/>
              </w:rPr>
              <w:t>4</w:t>
            </w:r>
            <w:r w:rsidR="003B72E1">
              <w:rPr>
                <w:noProof/>
                <w:webHidden/>
              </w:rPr>
              <w:fldChar w:fldCharType="end"/>
            </w:r>
          </w:hyperlink>
        </w:p>
        <w:p w:rsidR="003B72E1" w:rsidRDefault="00A031BA">
          <w:pPr>
            <w:pStyle w:val="TDC2"/>
            <w:tabs>
              <w:tab w:val="left" w:pos="660"/>
              <w:tab w:val="right" w:leader="dot" w:pos="8828"/>
            </w:tabs>
            <w:rPr>
              <w:rFonts w:eastAsiaTheme="minorEastAsia"/>
              <w:noProof/>
              <w:lang w:eastAsia="es-MX"/>
            </w:rPr>
          </w:pPr>
          <w:hyperlink w:anchor="_Toc535229622" w:history="1">
            <w:r w:rsidR="003B72E1" w:rsidRPr="007D0C71">
              <w:rPr>
                <w:rStyle w:val="Hipervnculo"/>
                <w:rFonts w:ascii="Palatino Linotype" w:hAnsi="Palatino Linotype"/>
                <w:b/>
                <w:noProof/>
              </w:rPr>
              <w:t>I.</w:t>
            </w:r>
            <w:r w:rsidR="003B72E1">
              <w:rPr>
                <w:rFonts w:eastAsiaTheme="minorEastAsia"/>
                <w:noProof/>
                <w:lang w:eastAsia="es-MX"/>
              </w:rPr>
              <w:tab/>
            </w:r>
            <w:r w:rsidR="003B72E1" w:rsidRPr="007D0C71">
              <w:rPr>
                <w:rStyle w:val="Hipervnculo"/>
                <w:rFonts w:ascii="Palatino Linotype" w:hAnsi="Palatino Linotype"/>
                <w:b/>
                <w:noProof/>
              </w:rPr>
              <w:t>Del Procedimiento de Acceso a la Información Pública.</w:t>
            </w:r>
            <w:r w:rsidR="003B72E1">
              <w:rPr>
                <w:noProof/>
                <w:webHidden/>
              </w:rPr>
              <w:tab/>
            </w:r>
            <w:r w:rsidR="003B72E1">
              <w:rPr>
                <w:noProof/>
                <w:webHidden/>
              </w:rPr>
              <w:fldChar w:fldCharType="begin"/>
            </w:r>
            <w:r w:rsidR="003B72E1">
              <w:rPr>
                <w:noProof/>
                <w:webHidden/>
              </w:rPr>
              <w:instrText xml:space="preserve"> PAGEREF _Toc535229622 \h </w:instrText>
            </w:r>
            <w:r w:rsidR="003B72E1">
              <w:rPr>
                <w:noProof/>
                <w:webHidden/>
              </w:rPr>
            </w:r>
            <w:r w:rsidR="003B72E1">
              <w:rPr>
                <w:noProof/>
                <w:webHidden/>
              </w:rPr>
              <w:fldChar w:fldCharType="separate"/>
            </w:r>
            <w:r w:rsidR="00F86F26">
              <w:rPr>
                <w:noProof/>
                <w:webHidden/>
              </w:rPr>
              <w:t>4</w:t>
            </w:r>
            <w:r w:rsidR="003B72E1">
              <w:rPr>
                <w:noProof/>
                <w:webHidden/>
              </w:rPr>
              <w:fldChar w:fldCharType="end"/>
            </w:r>
          </w:hyperlink>
        </w:p>
        <w:p w:rsidR="003B72E1" w:rsidRDefault="00A031BA">
          <w:pPr>
            <w:pStyle w:val="TDC2"/>
            <w:tabs>
              <w:tab w:val="left" w:pos="880"/>
              <w:tab w:val="right" w:leader="dot" w:pos="8828"/>
            </w:tabs>
            <w:rPr>
              <w:rFonts w:eastAsiaTheme="minorEastAsia"/>
              <w:noProof/>
              <w:lang w:eastAsia="es-MX"/>
            </w:rPr>
          </w:pPr>
          <w:hyperlink w:anchor="_Toc535229623" w:history="1">
            <w:r w:rsidR="003B72E1" w:rsidRPr="007D0C71">
              <w:rPr>
                <w:rStyle w:val="Hipervnculo"/>
                <w:rFonts w:ascii="Palatino Linotype" w:hAnsi="Palatino Linotype"/>
                <w:b/>
                <w:noProof/>
              </w:rPr>
              <w:t>II.</w:t>
            </w:r>
            <w:r w:rsidR="003B72E1">
              <w:rPr>
                <w:rFonts w:eastAsiaTheme="minorEastAsia"/>
                <w:noProof/>
                <w:lang w:eastAsia="es-MX"/>
              </w:rPr>
              <w:tab/>
            </w:r>
            <w:r w:rsidR="003B72E1" w:rsidRPr="007D0C71">
              <w:rPr>
                <w:rStyle w:val="Hipervnculo"/>
                <w:rFonts w:ascii="Palatino Linotype" w:hAnsi="Palatino Linotype"/>
                <w:b/>
                <w:noProof/>
              </w:rPr>
              <w:t>El derecho de acceso a la información.</w:t>
            </w:r>
            <w:r w:rsidR="003B72E1">
              <w:rPr>
                <w:noProof/>
                <w:webHidden/>
              </w:rPr>
              <w:tab/>
            </w:r>
            <w:r w:rsidR="003B72E1">
              <w:rPr>
                <w:noProof/>
                <w:webHidden/>
              </w:rPr>
              <w:fldChar w:fldCharType="begin"/>
            </w:r>
            <w:r w:rsidR="003B72E1">
              <w:rPr>
                <w:noProof/>
                <w:webHidden/>
              </w:rPr>
              <w:instrText xml:space="preserve"> PAGEREF _Toc535229623 \h </w:instrText>
            </w:r>
            <w:r w:rsidR="003B72E1">
              <w:rPr>
                <w:noProof/>
                <w:webHidden/>
              </w:rPr>
            </w:r>
            <w:r w:rsidR="003B72E1">
              <w:rPr>
                <w:noProof/>
                <w:webHidden/>
              </w:rPr>
              <w:fldChar w:fldCharType="separate"/>
            </w:r>
            <w:r w:rsidR="00F86F26">
              <w:rPr>
                <w:noProof/>
                <w:webHidden/>
              </w:rPr>
              <w:t>5</w:t>
            </w:r>
            <w:r w:rsidR="003B72E1">
              <w:rPr>
                <w:noProof/>
                <w:webHidden/>
              </w:rPr>
              <w:fldChar w:fldCharType="end"/>
            </w:r>
          </w:hyperlink>
        </w:p>
        <w:p w:rsidR="003B72E1" w:rsidRDefault="00A031BA">
          <w:pPr>
            <w:pStyle w:val="TDC2"/>
            <w:tabs>
              <w:tab w:val="left" w:pos="880"/>
              <w:tab w:val="right" w:leader="dot" w:pos="8828"/>
            </w:tabs>
            <w:rPr>
              <w:rFonts w:eastAsiaTheme="minorEastAsia"/>
              <w:noProof/>
              <w:lang w:eastAsia="es-MX"/>
            </w:rPr>
          </w:pPr>
          <w:hyperlink w:anchor="_Toc535229624" w:history="1">
            <w:r w:rsidR="003B72E1" w:rsidRPr="007D0C71">
              <w:rPr>
                <w:rStyle w:val="Hipervnculo"/>
                <w:rFonts w:ascii="Palatino Linotype" w:hAnsi="Palatino Linotype"/>
                <w:b/>
                <w:noProof/>
              </w:rPr>
              <w:t>III.</w:t>
            </w:r>
            <w:r w:rsidR="003B72E1">
              <w:rPr>
                <w:rFonts w:eastAsiaTheme="minorEastAsia"/>
                <w:noProof/>
                <w:lang w:eastAsia="es-MX"/>
              </w:rPr>
              <w:tab/>
            </w:r>
            <w:r w:rsidR="003B72E1" w:rsidRPr="007D0C71">
              <w:rPr>
                <w:rStyle w:val="Hipervnculo"/>
                <w:rFonts w:ascii="Palatino Linotype" w:hAnsi="Palatino Linotype"/>
                <w:b/>
                <w:noProof/>
              </w:rPr>
              <w:t>La igualdad de género y erradicación de violencia.</w:t>
            </w:r>
            <w:r w:rsidR="003B72E1">
              <w:rPr>
                <w:noProof/>
                <w:webHidden/>
              </w:rPr>
              <w:tab/>
            </w:r>
            <w:r w:rsidR="003B72E1">
              <w:rPr>
                <w:noProof/>
                <w:webHidden/>
              </w:rPr>
              <w:fldChar w:fldCharType="begin"/>
            </w:r>
            <w:r w:rsidR="003B72E1">
              <w:rPr>
                <w:noProof/>
                <w:webHidden/>
              </w:rPr>
              <w:instrText xml:space="preserve"> PAGEREF _Toc535229624 \h </w:instrText>
            </w:r>
            <w:r w:rsidR="003B72E1">
              <w:rPr>
                <w:noProof/>
                <w:webHidden/>
              </w:rPr>
            </w:r>
            <w:r w:rsidR="003B72E1">
              <w:rPr>
                <w:noProof/>
                <w:webHidden/>
              </w:rPr>
              <w:fldChar w:fldCharType="separate"/>
            </w:r>
            <w:r w:rsidR="00F86F26">
              <w:rPr>
                <w:noProof/>
                <w:webHidden/>
              </w:rPr>
              <w:t>10</w:t>
            </w:r>
            <w:r w:rsidR="003B72E1">
              <w:rPr>
                <w:noProof/>
                <w:webHidden/>
              </w:rPr>
              <w:fldChar w:fldCharType="end"/>
            </w:r>
          </w:hyperlink>
        </w:p>
        <w:p w:rsidR="003B72E1" w:rsidRDefault="00A031BA">
          <w:pPr>
            <w:pStyle w:val="TDC1"/>
            <w:rPr>
              <w:rFonts w:eastAsiaTheme="minorEastAsia"/>
              <w:noProof/>
              <w:lang w:eastAsia="es-MX"/>
            </w:rPr>
          </w:pPr>
          <w:hyperlink w:anchor="_Toc535229625" w:history="1">
            <w:r w:rsidR="003B72E1" w:rsidRPr="007D0C71">
              <w:rPr>
                <w:rStyle w:val="Hipervnculo"/>
                <w:rFonts w:ascii="Palatino Linotype" w:hAnsi="Palatino Linotype"/>
                <w:b/>
                <w:noProof/>
              </w:rPr>
              <w:t>C.</w:t>
            </w:r>
            <w:r w:rsidR="003B72E1">
              <w:rPr>
                <w:rFonts w:eastAsiaTheme="minorEastAsia"/>
                <w:noProof/>
                <w:lang w:eastAsia="es-MX"/>
              </w:rPr>
              <w:tab/>
            </w:r>
            <w:r w:rsidR="003B72E1" w:rsidRPr="007D0C71">
              <w:rPr>
                <w:rStyle w:val="Hipervnculo"/>
                <w:rFonts w:ascii="Palatino Linotype" w:hAnsi="Palatino Linotype"/>
                <w:b/>
                <w:noProof/>
              </w:rPr>
              <w:t>Conclusión.</w:t>
            </w:r>
            <w:r w:rsidR="003B72E1">
              <w:rPr>
                <w:noProof/>
                <w:webHidden/>
              </w:rPr>
              <w:tab/>
            </w:r>
            <w:r w:rsidR="003B72E1">
              <w:rPr>
                <w:noProof/>
                <w:webHidden/>
              </w:rPr>
              <w:fldChar w:fldCharType="begin"/>
            </w:r>
            <w:r w:rsidR="003B72E1">
              <w:rPr>
                <w:noProof/>
                <w:webHidden/>
              </w:rPr>
              <w:instrText xml:space="preserve"> PAGEREF _Toc535229625 \h </w:instrText>
            </w:r>
            <w:r w:rsidR="003B72E1">
              <w:rPr>
                <w:noProof/>
                <w:webHidden/>
              </w:rPr>
            </w:r>
            <w:r w:rsidR="003B72E1">
              <w:rPr>
                <w:noProof/>
                <w:webHidden/>
              </w:rPr>
              <w:fldChar w:fldCharType="separate"/>
            </w:r>
            <w:r w:rsidR="00F86F26">
              <w:rPr>
                <w:noProof/>
                <w:webHidden/>
              </w:rPr>
              <w:t>15</w:t>
            </w:r>
            <w:r w:rsidR="003B72E1">
              <w:rPr>
                <w:noProof/>
                <w:webHidden/>
              </w:rPr>
              <w:fldChar w:fldCharType="end"/>
            </w:r>
          </w:hyperlink>
        </w:p>
        <w:p w:rsidR="003B72E1" w:rsidRPr="003B72E1" w:rsidRDefault="003B72E1" w:rsidP="003B72E1">
          <w:pPr>
            <w:rPr>
              <w:rFonts w:ascii="Palatino Linotype" w:hAnsi="Palatino Linotype"/>
              <w:b/>
              <w:bCs/>
              <w:sz w:val="24"/>
              <w:szCs w:val="24"/>
              <w:lang w:val="es-ES"/>
            </w:rPr>
          </w:pPr>
          <w:r w:rsidRPr="003B72E1">
            <w:rPr>
              <w:rFonts w:ascii="Palatino Linotype" w:hAnsi="Palatino Linotype"/>
              <w:b/>
              <w:bCs/>
              <w:sz w:val="24"/>
              <w:szCs w:val="24"/>
              <w:lang w:val="es-ES"/>
            </w:rPr>
            <w:fldChar w:fldCharType="end"/>
          </w:r>
        </w:p>
      </w:sdtContent>
    </w:sdt>
    <w:p w:rsidR="003B72E1" w:rsidRPr="003B72E1" w:rsidRDefault="00110A8D" w:rsidP="003B72E1">
      <w:pPr>
        <w:pStyle w:val="Ttulo1"/>
        <w:rPr>
          <w:rFonts w:ascii="Palatino Linotype" w:hAnsi="Palatino Linotype"/>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38A9D239" wp14:editId="65F2B669">
                <wp:simplePos x="0" y="0"/>
                <wp:positionH relativeFrom="column">
                  <wp:posOffset>-3810</wp:posOffset>
                </wp:positionH>
                <wp:positionV relativeFrom="paragraph">
                  <wp:posOffset>16510</wp:posOffset>
                </wp:positionV>
                <wp:extent cx="5534025" cy="3352800"/>
                <wp:effectExtent l="19050" t="19050" r="28575" b="19050"/>
                <wp:wrapNone/>
                <wp:docPr id="3" name="Conector recto 3"/>
                <wp:cNvGraphicFramePr/>
                <a:graphic xmlns:a="http://schemas.openxmlformats.org/drawingml/2006/main">
                  <a:graphicData uri="http://schemas.microsoft.com/office/word/2010/wordprocessingShape">
                    <wps:wsp>
                      <wps:cNvCnPr/>
                      <wps:spPr>
                        <a:xfrm>
                          <a:off x="0" y="0"/>
                          <a:ext cx="5534025" cy="33528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CE994"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35.45pt,2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" strokecolor="#5b9bd5 [3204]" strokeweight="2.25pt">
                <v:stroke joinstyle="miter"/>
              </v:line>
            </w:pict>
          </mc:Fallback>
        </mc:AlternateContent>
      </w:r>
    </w:p>
    <w:p w:rsidR="003B72E1" w:rsidRPr="003B72E1" w:rsidRDefault="003B72E1" w:rsidP="003B72E1">
      <w:pPr>
        <w:rPr>
          <w:rFonts w:ascii="Palatino Linotype" w:hAnsi="Palatino Linotype"/>
          <w:sz w:val="24"/>
          <w:szCs w:val="24"/>
        </w:rPr>
      </w:pPr>
    </w:p>
    <w:p w:rsidR="003B72E1" w:rsidRPr="003B72E1" w:rsidRDefault="003B72E1" w:rsidP="003B72E1">
      <w:pPr>
        <w:rPr>
          <w:rFonts w:ascii="Palatino Linotype" w:hAnsi="Palatino Linotype"/>
          <w:sz w:val="24"/>
          <w:szCs w:val="24"/>
        </w:rPr>
      </w:pPr>
    </w:p>
    <w:p w:rsidR="003B72E1" w:rsidRPr="003B72E1" w:rsidRDefault="003B72E1" w:rsidP="003B72E1">
      <w:pPr>
        <w:rPr>
          <w:rFonts w:ascii="Palatino Linotype" w:hAnsi="Palatino Linotype"/>
          <w:sz w:val="24"/>
          <w:szCs w:val="24"/>
        </w:rPr>
      </w:pPr>
    </w:p>
    <w:p w:rsidR="003B72E1" w:rsidRPr="003B72E1" w:rsidRDefault="003B72E1" w:rsidP="003B72E1">
      <w:pPr>
        <w:rPr>
          <w:rFonts w:ascii="Palatino Linotype" w:hAnsi="Palatino Linotype"/>
          <w:sz w:val="24"/>
          <w:szCs w:val="24"/>
        </w:rPr>
      </w:pPr>
    </w:p>
    <w:p w:rsidR="003B72E1" w:rsidRPr="003B72E1" w:rsidRDefault="003B72E1" w:rsidP="003B72E1">
      <w:pPr>
        <w:rPr>
          <w:rFonts w:ascii="Palatino Linotype" w:hAnsi="Palatino Linotype"/>
          <w:sz w:val="24"/>
          <w:szCs w:val="24"/>
        </w:rPr>
      </w:pPr>
    </w:p>
    <w:p w:rsidR="003B72E1" w:rsidRPr="003B72E1" w:rsidRDefault="003B72E1" w:rsidP="003B72E1">
      <w:pPr>
        <w:rPr>
          <w:rFonts w:ascii="Palatino Linotype" w:hAnsi="Palatino Linotype"/>
          <w:sz w:val="24"/>
          <w:szCs w:val="24"/>
        </w:rPr>
      </w:pPr>
    </w:p>
    <w:p w:rsidR="003B72E1" w:rsidRPr="003B72E1" w:rsidRDefault="003B72E1" w:rsidP="003B72E1">
      <w:pPr>
        <w:rPr>
          <w:rFonts w:ascii="Palatino Linotype" w:hAnsi="Palatino Linotype"/>
          <w:sz w:val="24"/>
          <w:szCs w:val="24"/>
        </w:rPr>
      </w:pPr>
    </w:p>
    <w:p w:rsidR="003B72E1" w:rsidRPr="003B72E1" w:rsidRDefault="003B72E1" w:rsidP="003B72E1">
      <w:pPr>
        <w:rPr>
          <w:rFonts w:ascii="Palatino Linotype" w:hAnsi="Palatino Linotype"/>
          <w:sz w:val="24"/>
          <w:szCs w:val="24"/>
        </w:rPr>
      </w:pPr>
    </w:p>
    <w:p w:rsidR="003B72E1" w:rsidRPr="003B72E1" w:rsidRDefault="003B72E1" w:rsidP="003B72E1">
      <w:pPr>
        <w:rPr>
          <w:rFonts w:ascii="Palatino Linotype" w:hAnsi="Palatino Linotype"/>
          <w:sz w:val="24"/>
          <w:szCs w:val="24"/>
        </w:rPr>
      </w:pPr>
    </w:p>
    <w:p w:rsidR="003B72E1" w:rsidRPr="003B72E1" w:rsidRDefault="003B72E1" w:rsidP="003B72E1">
      <w:pPr>
        <w:pStyle w:val="Ttulo1"/>
        <w:numPr>
          <w:ilvl w:val="0"/>
          <w:numId w:val="23"/>
        </w:numPr>
        <w:ind w:left="993" w:hanging="567"/>
        <w:rPr>
          <w:rFonts w:ascii="Palatino Linotype" w:hAnsi="Palatino Linotype"/>
          <w:b/>
          <w:color w:val="auto"/>
          <w:sz w:val="24"/>
          <w:szCs w:val="24"/>
        </w:rPr>
      </w:pPr>
      <w:bookmarkStart w:id="1" w:name="_Toc535229620"/>
      <w:r w:rsidRPr="003B72E1">
        <w:rPr>
          <w:rFonts w:ascii="Palatino Linotype" w:hAnsi="Palatino Linotype"/>
          <w:b/>
          <w:color w:val="auto"/>
          <w:sz w:val="24"/>
          <w:szCs w:val="24"/>
        </w:rPr>
        <w:lastRenderedPageBreak/>
        <w:t>Consideraciones Generales.</w:t>
      </w:r>
      <w:bookmarkEnd w:id="1"/>
    </w:p>
    <w:p w:rsidR="003B72E1" w:rsidRPr="003B72E1" w:rsidRDefault="003B72E1" w:rsidP="003B72E1">
      <w:pPr>
        <w:rPr>
          <w:rFonts w:ascii="Palatino Linotype" w:hAnsi="Palatino Linotype"/>
          <w:sz w:val="24"/>
          <w:szCs w:val="24"/>
        </w:rPr>
      </w:pPr>
    </w:p>
    <w:p w:rsidR="003B72E1" w:rsidRPr="003B72E1" w:rsidRDefault="003B72E1" w:rsidP="003B72E1">
      <w:pPr>
        <w:pStyle w:val="Prrafodelista"/>
        <w:numPr>
          <w:ilvl w:val="0"/>
          <w:numId w:val="3"/>
        </w:numPr>
        <w:spacing w:after="0" w:line="360" w:lineRule="auto"/>
        <w:ind w:left="0" w:firstLine="0"/>
        <w:jc w:val="both"/>
        <w:rPr>
          <w:rFonts w:ascii="Palatino Linotype" w:hAnsi="Palatino Linotype" w:cs="Arial"/>
          <w:b/>
          <w:sz w:val="24"/>
          <w:szCs w:val="24"/>
        </w:rPr>
      </w:pPr>
      <w:r w:rsidRPr="003B72E1">
        <w:rPr>
          <w:rFonts w:ascii="Palatino Linotype" w:eastAsia="Times New Roman" w:hAnsi="Palatino Linotype" w:cs="Arial"/>
          <w:sz w:val="24"/>
          <w:szCs w:val="24"/>
          <w:lang w:val="es-ES_tradnl"/>
        </w:rPr>
        <w:t xml:space="preserve">He concurrido con mi voto particular de la presente resolución emitida </w:t>
      </w:r>
      <w:r w:rsidRPr="003B72E1">
        <w:rPr>
          <w:rFonts w:ascii="Palatino Linotype" w:hAnsi="Palatino Linotype" w:cs="Arial"/>
          <w:sz w:val="24"/>
          <w:szCs w:val="24"/>
        </w:rPr>
        <w:t xml:space="preserve">por el Pleno del Instituto de Transparencia, Acceso a la Información Pública y Protección de Datos Personales del Estado de México y Municipios, en su Primera Sesión Ordinaria celebrada el día nueve (09) de enero de dos mil diecinueve, en el recurso de revisión promovido en contra de la respuesta de la  </w:t>
      </w:r>
      <w:r w:rsidRPr="003B72E1">
        <w:rPr>
          <w:rFonts w:ascii="Palatino Linotype" w:eastAsia="Calibri" w:hAnsi="Palatino Linotype" w:cs="Tahoma"/>
          <w:b/>
          <w:bCs/>
          <w:sz w:val="24"/>
          <w:szCs w:val="24"/>
          <w:lang w:val="es-ES"/>
        </w:rPr>
        <w:t>Universidad Politécnica del Valle de Toluca</w:t>
      </w:r>
      <w:r w:rsidRPr="003B72E1">
        <w:rPr>
          <w:rFonts w:ascii="Palatino Linotype" w:hAnsi="Palatino Linotype" w:cs="Arial"/>
          <w:sz w:val="24"/>
          <w:szCs w:val="24"/>
        </w:rPr>
        <w:t xml:space="preserve">, procedimiento al que se le asignó el número de expediente </w:t>
      </w:r>
      <w:r w:rsidRPr="003B72E1">
        <w:rPr>
          <w:rFonts w:ascii="Palatino Linotype" w:hAnsi="Palatino Linotype" w:cs="Arial"/>
          <w:b/>
          <w:bCs/>
          <w:sz w:val="24"/>
          <w:szCs w:val="24"/>
        </w:rPr>
        <w:t>04157/INFOEM/IP/RR/2018 y acumulado</w:t>
      </w:r>
      <w:r w:rsidRPr="003B72E1">
        <w:rPr>
          <w:rFonts w:ascii="Palatino Linotype" w:hAnsi="Palatino Linotype" w:cs="Arial"/>
          <w:b/>
          <w:sz w:val="24"/>
          <w:szCs w:val="24"/>
        </w:rPr>
        <w:t>.</w:t>
      </w:r>
    </w:p>
    <w:p w:rsidR="003B72E1" w:rsidRPr="003B72E1" w:rsidRDefault="003B72E1" w:rsidP="003B72E1">
      <w:pPr>
        <w:pStyle w:val="Prrafodelista"/>
        <w:spacing w:after="0" w:line="360" w:lineRule="auto"/>
        <w:ind w:left="0"/>
        <w:jc w:val="both"/>
        <w:rPr>
          <w:rFonts w:ascii="Palatino Linotype" w:hAnsi="Palatino Linotype" w:cs="Arial"/>
          <w:b/>
          <w:sz w:val="24"/>
          <w:szCs w:val="24"/>
        </w:rPr>
      </w:pPr>
    </w:p>
    <w:p w:rsidR="003B72E1" w:rsidRPr="003B72E1" w:rsidRDefault="003B72E1" w:rsidP="003B72E1">
      <w:pPr>
        <w:pStyle w:val="Prrafodelista"/>
        <w:numPr>
          <w:ilvl w:val="0"/>
          <w:numId w:val="3"/>
        </w:numPr>
        <w:spacing w:after="0" w:line="360" w:lineRule="auto"/>
        <w:ind w:left="0" w:firstLine="0"/>
        <w:jc w:val="both"/>
        <w:rPr>
          <w:rFonts w:ascii="Palatino Linotype" w:hAnsi="Palatino Linotype" w:cs="Arial"/>
          <w:b/>
          <w:sz w:val="24"/>
          <w:szCs w:val="24"/>
        </w:rPr>
      </w:pPr>
      <w:r w:rsidRPr="003B72E1">
        <w:rPr>
          <w:rFonts w:ascii="Palatino Linotype" w:hAnsi="Palatino Linotype" w:cs="Arial"/>
          <w:sz w:val="24"/>
          <w:szCs w:val="24"/>
        </w:rPr>
        <w:t xml:space="preserve">La resolución puntualmente determina </w:t>
      </w:r>
      <w:r w:rsidRPr="003B72E1">
        <w:rPr>
          <w:rFonts w:ascii="Palatino Linotype" w:hAnsi="Palatino Linotype" w:cs="Arial"/>
          <w:b/>
          <w:sz w:val="24"/>
          <w:szCs w:val="24"/>
        </w:rPr>
        <w:t xml:space="preserve">CONFIRMAR </w:t>
      </w:r>
      <w:r w:rsidRPr="003B72E1">
        <w:rPr>
          <w:rFonts w:ascii="Palatino Linotype" w:hAnsi="Palatino Linotype" w:cs="Arial"/>
          <w:sz w:val="24"/>
          <w:szCs w:val="24"/>
        </w:rPr>
        <w:t>la respuesta del</w:t>
      </w:r>
      <w:r w:rsidRPr="003B72E1">
        <w:rPr>
          <w:rFonts w:ascii="Palatino Linotype" w:hAnsi="Palatino Linotype" w:cs="Arial"/>
          <w:b/>
          <w:sz w:val="24"/>
          <w:szCs w:val="24"/>
        </w:rPr>
        <w:t xml:space="preserve"> Sujeto Obligado.</w:t>
      </w:r>
    </w:p>
    <w:p w:rsidR="003B72E1" w:rsidRPr="003B72E1" w:rsidRDefault="003B72E1" w:rsidP="003B72E1">
      <w:pPr>
        <w:pStyle w:val="Prrafodelista"/>
        <w:spacing w:after="0" w:line="360" w:lineRule="auto"/>
        <w:ind w:left="0"/>
        <w:jc w:val="both"/>
        <w:rPr>
          <w:rFonts w:ascii="Palatino Linotype" w:hAnsi="Palatino Linotype" w:cs="Arial"/>
          <w:b/>
          <w:sz w:val="24"/>
          <w:szCs w:val="24"/>
        </w:rPr>
      </w:pPr>
      <w:r w:rsidRPr="003B72E1">
        <w:rPr>
          <w:rFonts w:ascii="Palatino Linotype" w:hAnsi="Palatino Linotype" w:cs="Arial"/>
          <w:sz w:val="24"/>
          <w:szCs w:val="24"/>
        </w:rPr>
        <w:t xml:space="preserve"> </w:t>
      </w:r>
    </w:p>
    <w:p w:rsidR="003B72E1" w:rsidRDefault="003B72E1" w:rsidP="003B72E1">
      <w:pPr>
        <w:pStyle w:val="Prrafodelista"/>
        <w:numPr>
          <w:ilvl w:val="0"/>
          <w:numId w:val="3"/>
        </w:numPr>
        <w:spacing w:before="240" w:after="24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Por tal motivo y en términos de lo señalado por el artículo 14 fracción XI del Reglamento Interior del Instituto de Transparencia y Acceso a la Información Pública del Estado de México y Municipios formulo la presente voto particular.</w:t>
      </w:r>
    </w:p>
    <w:p w:rsidR="003B72E1" w:rsidRPr="003B72E1" w:rsidRDefault="003B72E1" w:rsidP="003B72E1">
      <w:pPr>
        <w:pStyle w:val="Prrafodelista"/>
        <w:rPr>
          <w:rFonts w:ascii="Palatino Linotype" w:hAnsi="Palatino Linotype" w:cs="Arial"/>
          <w:sz w:val="24"/>
          <w:szCs w:val="24"/>
        </w:rPr>
      </w:pPr>
    </w:p>
    <w:p w:rsidR="003B72E1" w:rsidRDefault="003B72E1" w:rsidP="003B72E1">
      <w:pPr>
        <w:spacing w:before="240" w:after="240" w:line="360" w:lineRule="auto"/>
        <w:jc w:val="both"/>
        <w:rPr>
          <w:rFonts w:ascii="Palatino Linotype" w:hAnsi="Palatino Linotype" w:cs="Arial"/>
          <w:sz w:val="24"/>
          <w:szCs w:val="24"/>
        </w:rPr>
      </w:pPr>
    </w:p>
    <w:p w:rsidR="003B72E1" w:rsidRDefault="003B72E1" w:rsidP="003B72E1">
      <w:pPr>
        <w:spacing w:before="240" w:after="240" w:line="360" w:lineRule="auto"/>
        <w:jc w:val="both"/>
        <w:rPr>
          <w:rFonts w:ascii="Palatino Linotype" w:hAnsi="Palatino Linotype" w:cs="Arial"/>
          <w:sz w:val="24"/>
          <w:szCs w:val="24"/>
        </w:rPr>
      </w:pPr>
    </w:p>
    <w:p w:rsidR="003B72E1" w:rsidRPr="003B72E1" w:rsidRDefault="003B72E1" w:rsidP="003B72E1">
      <w:pPr>
        <w:spacing w:before="240" w:after="240" w:line="360" w:lineRule="auto"/>
        <w:jc w:val="both"/>
        <w:rPr>
          <w:rFonts w:ascii="Palatino Linotype" w:hAnsi="Palatino Linotype" w:cs="Arial"/>
          <w:sz w:val="24"/>
          <w:szCs w:val="24"/>
        </w:rPr>
      </w:pPr>
    </w:p>
    <w:p w:rsidR="003B72E1" w:rsidRPr="003B72E1" w:rsidRDefault="003B72E1" w:rsidP="003B72E1">
      <w:pPr>
        <w:pStyle w:val="Ttulo1"/>
        <w:numPr>
          <w:ilvl w:val="0"/>
          <w:numId w:val="23"/>
        </w:numPr>
        <w:ind w:left="0" w:firstLine="0"/>
        <w:rPr>
          <w:rFonts w:ascii="Palatino Linotype" w:hAnsi="Palatino Linotype"/>
          <w:b/>
          <w:color w:val="auto"/>
          <w:sz w:val="24"/>
          <w:szCs w:val="24"/>
        </w:rPr>
      </w:pPr>
      <w:bookmarkStart w:id="2" w:name="_Toc535229621"/>
      <w:r w:rsidRPr="003B72E1">
        <w:rPr>
          <w:rFonts w:ascii="Palatino Linotype" w:hAnsi="Palatino Linotype"/>
          <w:b/>
          <w:color w:val="auto"/>
          <w:sz w:val="24"/>
          <w:szCs w:val="24"/>
        </w:rPr>
        <w:t>Del análisis y estudio al proyecto de resolución.</w:t>
      </w:r>
      <w:bookmarkEnd w:id="2"/>
    </w:p>
    <w:p w:rsidR="003B72E1" w:rsidRPr="003B72E1" w:rsidRDefault="003B72E1" w:rsidP="003B72E1">
      <w:pPr>
        <w:pStyle w:val="Prrafodelista"/>
        <w:ind w:left="0"/>
        <w:rPr>
          <w:rFonts w:ascii="Palatino Linotype" w:hAnsi="Palatino Linotype" w:cs="Arial"/>
          <w:b/>
          <w:sz w:val="20"/>
          <w:szCs w:val="24"/>
        </w:rPr>
      </w:pPr>
    </w:p>
    <w:p w:rsidR="003B72E1" w:rsidRPr="003B72E1" w:rsidRDefault="003B72E1" w:rsidP="003B72E1">
      <w:pPr>
        <w:pStyle w:val="Ttulo2"/>
        <w:numPr>
          <w:ilvl w:val="0"/>
          <w:numId w:val="26"/>
        </w:numPr>
        <w:rPr>
          <w:rFonts w:ascii="Palatino Linotype" w:hAnsi="Palatino Linotype"/>
          <w:b/>
          <w:sz w:val="24"/>
        </w:rPr>
      </w:pPr>
      <w:bookmarkStart w:id="3" w:name="_Toc535229622"/>
      <w:r w:rsidRPr="003B72E1">
        <w:rPr>
          <w:rFonts w:ascii="Palatino Linotype" w:hAnsi="Palatino Linotype"/>
          <w:b/>
          <w:color w:val="auto"/>
          <w:sz w:val="24"/>
        </w:rPr>
        <w:t>Del Procedimiento de Acceso a la Información Pública.</w:t>
      </w:r>
      <w:bookmarkEnd w:id="3"/>
    </w:p>
    <w:p w:rsidR="003B72E1" w:rsidRPr="003B72E1" w:rsidRDefault="003B72E1" w:rsidP="003B72E1">
      <w:pPr>
        <w:rPr>
          <w:rFonts w:ascii="Palatino Linotype" w:hAnsi="Palatino Linotype"/>
          <w:sz w:val="24"/>
          <w:szCs w:val="24"/>
        </w:rPr>
      </w:pPr>
    </w:p>
    <w:p w:rsidR="003B72E1" w:rsidRPr="003B72E1" w:rsidRDefault="003B72E1" w:rsidP="003B72E1">
      <w:pPr>
        <w:pStyle w:val="Prrafodelista"/>
        <w:numPr>
          <w:ilvl w:val="0"/>
          <w:numId w:val="3"/>
        </w:numPr>
        <w:spacing w:before="240" w:after="24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 xml:space="preserve">Es de señalar que la solicitud de acceso a la información que </w:t>
      </w:r>
      <w:r w:rsidRPr="003B72E1">
        <w:rPr>
          <w:rFonts w:ascii="Palatino Linotype" w:hAnsi="Palatino Linotype"/>
          <w:sz w:val="24"/>
          <w:szCs w:val="24"/>
          <w:lang w:val="es-ES_tradnl"/>
        </w:rPr>
        <w:t xml:space="preserve">se formuló ante </w:t>
      </w:r>
      <w:r w:rsidRPr="003B72E1">
        <w:rPr>
          <w:rFonts w:ascii="Palatino Linotype" w:eastAsia="Calibri" w:hAnsi="Palatino Linotype" w:cs="Tahoma"/>
          <w:b/>
          <w:bCs/>
          <w:sz w:val="24"/>
          <w:szCs w:val="24"/>
          <w:lang w:val="es-ES"/>
        </w:rPr>
        <w:t>la Universidad Politécnica del Valle de Toluca y se solicitó del Comité Interno de Equidad de Género lo</w:t>
      </w:r>
      <w:r w:rsidRPr="003B72E1">
        <w:rPr>
          <w:rFonts w:ascii="Palatino Linotype" w:hAnsi="Palatino Linotype" w:cs="Arial"/>
          <w:sz w:val="24"/>
          <w:szCs w:val="24"/>
        </w:rPr>
        <w:t xml:space="preserve"> siguiente:</w:t>
      </w:r>
    </w:p>
    <w:p w:rsidR="003B72E1" w:rsidRPr="003B72E1" w:rsidRDefault="003B72E1" w:rsidP="003B72E1">
      <w:pPr>
        <w:pStyle w:val="Prrafodelista"/>
        <w:ind w:left="0"/>
        <w:rPr>
          <w:rFonts w:ascii="Palatino Linotype" w:hAnsi="Palatino Linotype" w:cs="Arial"/>
          <w:sz w:val="24"/>
          <w:szCs w:val="24"/>
        </w:rPr>
      </w:pPr>
    </w:p>
    <w:p w:rsidR="003B72E1" w:rsidRPr="003B72E1" w:rsidRDefault="003B72E1" w:rsidP="003B72E1">
      <w:pPr>
        <w:pStyle w:val="Prrafodelista"/>
        <w:numPr>
          <w:ilvl w:val="0"/>
          <w:numId w:val="24"/>
        </w:numPr>
        <w:spacing w:line="276" w:lineRule="auto"/>
        <w:ind w:left="0" w:firstLine="0"/>
        <w:jc w:val="both"/>
        <w:rPr>
          <w:rFonts w:ascii="Palatino Linotype" w:eastAsia="Calibri" w:hAnsi="Palatino Linotype" w:cs="Tahoma"/>
          <w:bCs/>
          <w:sz w:val="24"/>
          <w:szCs w:val="24"/>
          <w:lang w:val="es-ES"/>
        </w:rPr>
      </w:pPr>
      <w:r w:rsidRPr="003B72E1">
        <w:rPr>
          <w:rFonts w:ascii="Palatino Linotype" w:eastAsia="Calibri" w:hAnsi="Palatino Linotype" w:cs="Tahoma"/>
          <w:bCs/>
          <w:sz w:val="24"/>
          <w:szCs w:val="24"/>
          <w:lang w:val="es-ES"/>
        </w:rPr>
        <w:t>Carpetas, catas minutas y nombramientos del Comité;</w:t>
      </w:r>
    </w:p>
    <w:p w:rsidR="003B72E1" w:rsidRPr="003B72E1" w:rsidRDefault="003B72E1" w:rsidP="003B72E1">
      <w:pPr>
        <w:pStyle w:val="Prrafodelista"/>
        <w:numPr>
          <w:ilvl w:val="0"/>
          <w:numId w:val="24"/>
        </w:numPr>
        <w:spacing w:line="276" w:lineRule="auto"/>
        <w:ind w:left="0" w:firstLine="0"/>
        <w:jc w:val="both"/>
        <w:rPr>
          <w:rFonts w:ascii="Palatino Linotype" w:eastAsia="Calibri" w:hAnsi="Palatino Linotype" w:cs="Tahoma"/>
          <w:bCs/>
          <w:sz w:val="24"/>
          <w:szCs w:val="24"/>
          <w:lang w:val="es-ES"/>
        </w:rPr>
      </w:pPr>
      <w:r w:rsidRPr="003B72E1">
        <w:rPr>
          <w:rFonts w:ascii="Palatino Linotype" w:eastAsia="Calibri" w:hAnsi="Palatino Linotype" w:cs="Tahoma"/>
          <w:bCs/>
          <w:sz w:val="24"/>
          <w:szCs w:val="24"/>
          <w:lang w:val="es-ES"/>
        </w:rPr>
        <w:t>Sesiones celebraras por el Comité; y,</w:t>
      </w:r>
    </w:p>
    <w:p w:rsidR="003B72E1" w:rsidRPr="003B72E1" w:rsidRDefault="003B72E1" w:rsidP="003B72E1">
      <w:pPr>
        <w:pStyle w:val="Prrafodelista"/>
        <w:numPr>
          <w:ilvl w:val="0"/>
          <w:numId w:val="24"/>
        </w:numPr>
        <w:spacing w:line="276" w:lineRule="auto"/>
        <w:ind w:left="0" w:firstLine="0"/>
        <w:jc w:val="both"/>
        <w:rPr>
          <w:rFonts w:ascii="Palatino Linotype" w:eastAsia="Calibri" w:hAnsi="Palatino Linotype" w:cs="Tahoma"/>
          <w:bCs/>
          <w:sz w:val="24"/>
          <w:szCs w:val="24"/>
          <w:lang w:val="es-ES"/>
        </w:rPr>
      </w:pPr>
      <w:r w:rsidRPr="003B72E1">
        <w:rPr>
          <w:rFonts w:ascii="Palatino Linotype" w:eastAsia="Calibri" w:hAnsi="Palatino Linotype" w:cs="Tahoma"/>
          <w:bCs/>
          <w:sz w:val="24"/>
          <w:szCs w:val="24"/>
          <w:lang w:val="es-ES"/>
        </w:rPr>
        <w:t>Acuerdos tomados desde la creación del Comité a la fecha.</w:t>
      </w:r>
    </w:p>
    <w:p w:rsidR="003B72E1" w:rsidRPr="003B72E1" w:rsidRDefault="003B72E1" w:rsidP="003B72E1">
      <w:pPr>
        <w:spacing w:line="276" w:lineRule="auto"/>
        <w:jc w:val="both"/>
        <w:rPr>
          <w:rFonts w:ascii="Palatino Linotype" w:eastAsia="Calibri" w:hAnsi="Palatino Linotype" w:cs="Tahoma"/>
          <w:bCs/>
          <w:sz w:val="24"/>
          <w:szCs w:val="24"/>
          <w:lang w:val="es-ES"/>
        </w:rPr>
      </w:pPr>
    </w:p>
    <w:p w:rsidR="003B72E1" w:rsidRPr="003B72E1" w:rsidRDefault="003B72E1" w:rsidP="003B72E1">
      <w:pPr>
        <w:pStyle w:val="Prrafodelista"/>
        <w:numPr>
          <w:ilvl w:val="0"/>
          <w:numId w:val="3"/>
        </w:numPr>
        <w:spacing w:before="240" w:after="24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A tal requerimiento, el Sujeto Obligado manifestó que no cuenta con un Comité Interno de Equidad de género, por lo tanto no se tiene información al respecto.</w:t>
      </w:r>
    </w:p>
    <w:p w:rsidR="003B72E1" w:rsidRPr="003B72E1" w:rsidRDefault="003B72E1" w:rsidP="003B72E1">
      <w:pPr>
        <w:pStyle w:val="Prrafodelista"/>
        <w:spacing w:before="240" w:after="240" w:line="360" w:lineRule="auto"/>
        <w:ind w:left="0"/>
        <w:jc w:val="both"/>
        <w:rPr>
          <w:rFonts w:ascii="Palatino Linotype" w:hAnsi="Palatino Linotype" w:cs="Arial"/>
          <w:sz w:val="24"/>
          <w:szCs w:val="24"/>
        </w:rPr>
      </w:pPr>
    </w:p>
    <w:p w:rsidR="003B72E1" w:rsidRPr="003B72E1" w:rsidRDefault="003B72E1" w:rsidP="003B72E1">
      <w:pPr>
        <w:pStyle w:val="Prrafodelista"/>
        <w:numPr>
          <w:ilvl w:val="0"/>
          <w:numId w:val="3"/>
        </w:numPr>
        <w:spacing w:before="240" w:after="24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El particular se inconformó argumentando que no dan la información, y pide Comité, más no Unidad.</w:t>
      </w:r>
    </w:p>
    <w:p w:rsidR="003B72E1" w:rsidRPr="003B72E1" w:rsidRDefault="003B72E1" w:rsidP="003B72E1">
      <w:pPr>
        <w:pStyle w:val="Prrafodelista"/>
        <w:ind w:left="0"/>
        <w:rPr>
          <w:rFonts w:ascii="Palatino Linotype" w:hAnsi="Palatino Linotype" w:cs="Arial"/>
          <w:sz w:val="24"/>
          <w:szCs w:val="24"/>
        </w:rPr>
      </w:pPr>
    </w:p>
    <w:p w:rsidR="003B72E1" w:rsidRPr="003B72E1" w:rsidRDefault="003B72E1" w:rsidP="003B72E1">
      <w:pPr>
        <w:pStyle w:val="Prrafodelista"/>
        <w:numPr>
          <w:ilvl w:val="0"/>
          <w:numId w:val="3"/>
        </w:numPr>
        <w:spacing w:before="240" w:after="24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Con la información que entregó el Sujeto Obligado, la Ponencia encargada de presentar el proyecto de resolución consideró que se constituye un hecho negativo y por lo tanto no pude atenderse y, en conclusión, resolvieron la controversia confirmando la respuesta entregada a la solicitud de acceso a la información, situación que en lo personal no comparto del todo, por las siguientes razones de hecho y derecho.</w:t>
      </w:r>
    </w:p>
    <w:p w:rsidR="003B72E1" w:rsidRPr="003B72E1" w:rsidRDefault="003B72E1" w:rsidP="003B72E1">
      <w:pPr>
        <w:pStyle w:val="Prrafodelista"/>
        <w:ind w:left="0"/>
        <w:rPr>
          <w:rFonts w:ascii="Palatino Linotype" w:hAnsi="Palatino Linotype" w:cs="Arial"/>
          <w:sz w:val="24"/>
          <w:szCs w:val="24"/>
        </w:rPr>
      </w:pPr>
    </w:p>
    <w:p w:rsidR="003B72E1" w:rsidRPr="003B72E1" w:rsidRDefault="003B72E1" w:rsidP="003B72E1">
      <w:pPr>
        <w:pStyle w:val="Prrafodelista"/>
        <w:ind w:left="0"/>
        <w:rPr>
          <w:rFonts w:ascii="Palatino Linotype" w:hAnsi="Palatino Linotype" w:cs="Arial"/>
          <w:sz w:val="24"/>
          <w:szCs w:val="24"/>
        </w:rPr>
      </w:pPr>
    </w:p>
    <w:p w:rsidR="003B72E1" w:rsidRPr="003B72E1" w:rsidRDefault="003B72E1" w:rsidP="003B72E1">
      <w:pPr>
        <w:pStyle w:val="Ttulo2"/>
        <w:numPr>
          <w:ilvl w:val="0"/>
          <w:numId w:val="26"/>
        </w:numPr>
        <w:rPr>
          <w:rFonts w:ascii="Palatino Linotype" w:hAnsi="Palatino Linotype"/>
          <w:b/>
          <w:color w:val="auto"/>
          <w:sz w:val="24"/>
        </w:rPr>
      </w:pPr>
      <w:bookmarkStart w:id="4" w:name="_Toc535229623"/>
      <w:r w:rsidRPr="003B72E1">
        <w:rPr>
          <w:rFonts w:ascii="Palatino Linotype" w:hAnsi="Palatino Linotype"/>
          <w:b/>
          <w:color w:val="auto"/>
          <w:sz w:val="24"/>
        </w:rPr>
        <w:t>El derecho de acceso a la información.</w:t>
      </w:r>
      <w:bookmarkEnd w:id="4"/>
    </w:p>
    <w:p w:rsidR="003B72E1" w:rsidRPr="003B72E1" w:rsidRDefault="003B72E1" w:rsidP="003B72E1">
      <w:pPr>
        <w:pStyle w:val="Prrafodelista"/>
        <w:spacing w:after="0" w:line="360" w:lineRule="auto"/>
        <w:ind w:left="0"/>
        <w:jc w:val="both"/>
        <w:rPr>
          <w:rFonts w:ascii="Palatino Linotype" w:hAnsi="Palatino Linotype" w:cs="Arial"/>
          <w:sz w:val="24"/>
          <w:szCs w:val="24"/>
        </w:rPr>
      </w:pPr>
    </w:p>
    <w:p w:rsidR="003B72E1" w:rsidRPr="003B72E1" w:rsidRDefault="003B72E1" w:rsidP="003B72E1">
      <w:pPr>
        <w:pStyle w:val="Prrafodelista"/>
        <w:numPr>
          <w:ilvl w:val="0"/>
          <w:numId w:val="3"/>
        </w:numPr>
        <w:spacing w:after="0" w:line="360" w:lineRule="auto"/>
        <w:ind w:left="0" w:firstLine="0"/>
        <w:jc w:val="both"/>
        <w:rPr>
          <w:rFonts w:ascii="Palatino Linotype" w:hAnsi="Palatino Linotype" w:cs="Arial"/>
          <w:sz w:val="24"/>
          <w:szCs w:val="24"/>
        </w:rPr>
      </w:pPr>
      <w:r w:rsidRPr="003B72E1">
        <w:rPr>
          <w:rFonts w:ascii="Palatino Linotype" w:eastAsia="Times New Roman" w:hAnsi="Palatino Linotype" w:cs="Arial"/>
          <w:color w:val="000000"/>
        </w:rPr>
        <w:t>La Constitución Política de los Estados Unidos Mexicanos establece que “</w:t>
      </w:r>
      <w:r w:rsidRPr="003B72E1">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3B72E1">
        <w:rPr>
          <w:rStyle w:val="Refdenotaalpie"/>
          <w:rFonts w:ascii="Palatino Linotype" w:hAnsi="Palatino Linotype" w:cs="Helvetica"/>
          <w:i/>
          <w:szCs w:val="23"/>
          <w:shd w:val="clear" w:color="auto" w:fill="FFFFFF"/>
        </w:rPr>
        <w:footnoteReference w:id="1"/>
      </w:r>
      <w:r w:rsidRPr="003B72E1">
        <w:rPr>
          <w:rFonts w:ascii="Palatino Linotype" w:hAnsi="Palatino Linotype" w:cs="Helvetica"/>
          <w:szCs w:val="23"/>
          <w:shd w:val="clear" w:color="auto" w:fill="FFFFFF"/>
        </w:rPr>
        <w:t>, por lo tanto, como el mismo ordenamiento refiere que “</w:t>
      </w:r>
      <w:r w:rsidRPr="003B72E1">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3B72E1">
        <w:rPr>
          <w:rStyle w:val="Refdenotaalpie"/>
          <w:rFonts w:ascii="Palatino Linotype" w:hAnsi="Palatino Linotype"/>
          <w:i/>
          <w:szCs w:val="20"/>
        </w:rPr>
        <w:footnoteReference w:id="2"/>
      </w:r>
      <w:r w:rsidRPr="003B72E1">
        <w:rPr>
          <w:rFonts w:ascii="Palatino Linotype" w:hAnsi="Palatino Linotype"/>
          <w:i/>
          <w:szCs w:val="20"/>
        </w:rPr>
        <w:t xml:space="preserve">,  </w:t>
      </w:r>
      <w:r w:rsidRPr="003B72E1">
        <w:rPr>
          <w:rFonts w:ascii="Palatino Linotype" w:hAnsi="Palatino Linotype"/>
          <w:szCs w:val="20"/>
        </w:rPr>
        <w:t>se e</w:t>
      </w:r>
      <w:r w:rsidRPr="003B72E1">
        <w:rPr>
          <w:rFonts w:ascii="Palatino Linotype" w:hAnsi="Palatino Linotype" w:cs="Helvetica"/>
          <w:szCs w:val="23"/>
          <w:shd w:val="clear" w:color="auto" w:fill="FFFFFF"/>
        </w:rPr>
        <w:t xml:space="preserve">ntiende que </w:t>
      </w:r>
      <w:r w:rsidRPr="003B72E1">
        <w:rPr>
          <w:rFonts w:ascii="Palatino Linotype" w:hAnsi="Palatino Linotype" w:cs="Helvetica"/>
          <w:b/>
          <w:szCs w:val="23"/>
          <w:shd w:val="clear" w:color="auto" w:fill="FFFFFF"/>
        </w:rPr>
        <w:t>el acceso a la información es un derecho</w:t>
      </w:r>
      <w:r w:rsidRPr="003B72E1">
        <w:rPr>
          <w:rFonts w:ascii="Palatino Linotype" w:hAnsi="Palatino Linotype" w:cs="Helvetica"/>
          <w:szCs w:val="23"/>
          <w:shd w:val="clear" w:color="auto" w:fill="FFFFFF"/>
        </w:rPr>
        <w:t xml:space="preserve">, por lo tanto, todas las autoridades en el ámbito de su competencia se ven impuestas por la obligación de </w:t>
      </w:r>
      <w:r w:rsidRPr="003B72E1">
        <w:rPr>
          <w:rFonts w:ascii="Palatino Linotype" w:hAnsi="Palatino Linotype" w:cs="Helvetica"/>
          <w:b/>
          <w:szCs w:val="23"/>
          <w:shd w:val="clear" w:color="auto" w:fill="FFFFFF"/>
        </w:rPr>
        <w:t>promover, proteger, respetar y garantizar</w:t>
      </w:r>
      <w:r w:rsidRPr="003B72E1">
        <w:rPr>
          <w:rFonts w:ascii="Palatino Linotype" w:hAnsi="Palatino Linotype" w:cs="Helvetica"/>
          <w:szCs w:val="23"/>
          <w:shd w:val="clear" w:color="auto" w:fill="FFFFFF"/>
        </w:rPr>
        <w:t xml:space="preserve"> el libre acceso a la información.</w:t>
      </w:r>
    </w:p>
    <w:p w:rsidR="003B72E1" w:rsidRPr="003B72E1" w:rsidRDefault="003B72E1" w:rsidP="003B72E1">
      <w:pPr>
        <w:pStyle w:val="Prrafodelista"/>
        <w:spacing w:after="0" w:line="360" w:lineRule="auto"/>
        <w:ind w:left="0"/>
        <w:jc w:val="both"/>
        <w:rPr>
          <w:rFonts w:ascii="Palatino Linotype" w:hAnsi="Palatino Linotype" w:cs="Arial"/>
          <w:sz w:val="24"/>
          <w:szCs w:val="24"/>
        </w:rPr>
      </w:pPr>
    </w:p>
    <w:p w:rsidR="003B72E1" w:rsidRPr="003B72E1" w:rsidRDefault="003B72E1" w:rsidP="003B72E1">
      <w:pPr>
        <w:pStyle w:val="Prrafodelista"/>
        <w:numPr>
          <w:ilvl w:val="0"/>
          <w:numId w:val="3"/>
        </w:numPr>
        <w:spacing w:after="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 xml:space="preserve">Además, podemos entender el concepto de derecho de acceso a la información como </w:t>
      </w:r>
      <w:r w:rsidRPr="003B72E1">
        <w:rPr>
          <w:rFonts w:ascii="Palatino Linotype" w:eastAsia="Times New Roman" w:hAnsi="Palatino Linotype" w:cs="Arial"/>
          <w:color w:val="000000" w:themeColor="text1"/>
          <w:lang w:eastAsia="es-MX"/>
        </w:rPr>
        <w:t xml:space="preserve">la </w:t>
      </w:r>
      <w:r w:rsidRPr="003B72E1">
        <w:rPr>
          <w:rFonts w:ascii="Palatino Linotype" w:eastAsia="MS Mincho" w:hAnsi="Palatino Linotype" w:cs="Times New Roman"/>
          <w:i/>
        </w:rPr>
        <w:t>igualdad de oportunidades para recibir, buscar e impartir información</w:t>
      </w:r>
      <w:r w:rsidRPr="003B72E1">
        <w:rPr>
          <w:rStyle w:val="Refdenotaalpie"/>
          <w:rFonts w:ascii="Palatino Linotype" w:eastAsia="MS Mincho" w:hAnsi="Palatino Linotype" w:cs="Times New Roman"/>
          <w:i/>
        </w:rPr>
        <w:footnoteReference w:id="3"/>
      </w:r>
      <w:r w:rsidRPr="003B72E1">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B72E1">
        <w:rPr>
          <w:rStyle w:val="Refdenotaalpie"/>
          <w:rFonts w:ascii="Palatino Linotype" w:eastAsia="MS Mincho" w:hAnsi="Palatino Linotype" w:cs="Times New Roman"/>
        </w:rPr>
        <w:footnoteReference w:id="4"/>
      </w:r>
      <w:r w:rsidRPr="003B72E1">
        <w:rPr>
          <w:rFonts w:ascii="Palatino Linotype" w:eastAsia="MS Mincho" w:hAnsi="Palatino Linotype" w:cs="Times New Roman"/>
          <w:i/>
        </w:rPr>
        <w:t xml:space="preserve"> </w:t>
      </w:r>
      <w:r w:rsidRPr="003B72E1">
        <w:rPr>
          <w:rFonts w:ascii="Palatino Linotype" w:eastAsia="MS Mincho" w:hAnsi="Palatino Linotype" w:cs="Times New Roman"/>
        </w:rPr>
        <w:t xml:space="preserve">que se constituye como una herramienta fundamental para </w:t>
      </w:r>
      <w:r w:rsidRPr="003B72E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B72E1">
        <w:rPr>
          <w:rStyle w:val="Refdenotaalpie"/>
          <w:rFonts w:ascii="Palatino Linotype" w:eastAsia="MS Mincho" w:hAnsi="Palatino Linotype" w:cs="Times New Roman"/>
          <w:i/>
        </w:rPr>
        <w:footnoteReference w:id="5"/>
      </w:r>
      <w:r w:rsidRPr="003B72E1">
        <w:rPr>
          <w:rFonts w:ascii="Palatino Linotype" w:eastAsia="MS Mincho" w:hAnsi="Palatino Linotype" w:cs="Times New Roman"/>
        </w:rPr>
        <w:t>fomentando</w:t>
      </w:r>
      <w:r w:rsidRPr="003B72E1">
        <w:rPr>
          <w:rFonts w:ascii="Palatino Linotype" w:eastAsia="MS Mincho" w:hAnsi="Palatino Linotype" w:cs="Times New Roman"/>
          <w:i/>
        </w:rPr>
        <w:t xml:space="preserve"> la transparencia de las actividades estatales y</w:t>
      </w:r>
      <w:r w:rsidRPr="003B72E1">
        <w:rPr>
          <w:rFonts w:ascii="Palatino Linotype" w:eastAsia="MS Mincho" w:hAnsi="Palatino Linotype" w:cs="Times New Roman"/>
        </w:rPr>
        <w:t xml:space="preserve"> promoviendo</w:t>
      </w:r>
      <w:r w:rsidRPr="003B72E1">
        <w:rPr>
          <w:rFonts w:ascii="Palatino Linotype" w:eastAsia="MS Mincho" w:hAnsi="Palatino Linotype" w:cs="Times New Roman"/>
          <w:i/>
        </w:rPr>
        <w:t xml:space="preserve"> la responsabilidad de los funcionarios sobre su gestión pública</w:t>
      </w:r>
      <w:r w:rsidRPr="003B72E1">
        <w:rPr>
          <w:rStyle w:val="Refdenotaalpie"/>
          <w:rFonts w:ascii="Palatino Linotype" w:eastAsia="MS Mincho" w:hAnsi="Palatino Linotype" w:cs="Times New Roman"/>
          <w:i/>
        </w:rPr>
        <w:footnoteReference w:id="6"/>
      </w:r>
      <w:r w:rsidRPr="003B72E1">
        <w:rPr>
          <w:rFonts w:ascii="Palatino Linotype" w:eastAsia="MS Mincho" w:hAnsi="Palatino Linotype" w:cs="Times New Roman"/>
          <w:i/>
        </w:rPr>
        <w:t xml:space="preserve"> </w:t>
      </w:r>
      <w:r w:rsidRPr="003B72E1">
        <w:rPr>
          <w:rFonts w:ascii="Palatino Linotype" w:eastAsia="MS Mincho" w:hAnsi="Palatino Linotype" w:cs="Times New Roman"/>
        </w:rPr>
        <w:t>que permite</w:t>
      </w:r>
      <w:r w:rsidRPr="003B72E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B72E1">
        <w:rPr>
          <w:rStyle w:val="Refdenotaalpie"/>
          <w:rFonts w:ascii="Palatino Linotype" w:eastAsia="MS Mincho" w:hAnsi="Palatino Linotype" w:cs="Times New Roman"/>
          <w:i/>
        </w:rPr>
        <w:footnoteReference w:id="7"/>
      </w:r>
      <w:r w:rsidRPr="003B72E1">
        <w:rPr>
          <w:rFonts w:ascii="Palatino Linotype" w:eastAsia="MS Mincho" w:hAnsi="Palatino Linotype" w:cs="Times New Roman"/>
        </w:rPr>
        <w:t xml:space="preserve"> ”.</w:t>
      </w:r>
    </w:p>
    <w:p w:rsidR="003B72E1" w:rsidRPr="003B72E1" w:rsidRDefault="003B72E1" w:rsidP="003B72E1">
      <w:pPr>
        <w:pStyle w:val="Prrafodelista"/>
        <w:ind w:left="0"/>
        <w:rPr>
          <w:rFonts w:ascii="Palatino Linotype" w:hAnsi="Palatino Linotype" w:cs="Arial"/>
          <w:sz w:val="24"/>
          <w:szCs w:val="24"/>
        </w:rPr>
      </w:pPr>
    </w:p>
    <w:p w:rsidR="003B72E1" w:rsidRPr="003B72E1" w:rsidRDefault="003B72E1" w:rsidP="003B72E1">
      <w:pPr>
        <w:pStyle w:val="Prrafodelista"/>
        <w:numPr>
          <w:ilvl w:val="0"/>
          <w:numId w:val="3"/>
        </w:numPr>
        <w:spacing w:after="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 xml:space="preserve"> Y </w:t>
      </w:r>
      <w:r w:rsidRPr="003B72E1">
        <w:rPr>
          <w:rFonts w:ascii="Palatino Linotype" w:hAnsi="Palatino Linotype" w:cs="Arial"/>
        </w:rPr>
        <w:t xml:space="preserve">para entender los alcances de la información pública se considera importante citar el criterio </w:t>
      </w:r>
      <w:r w:rsidRPr="003B72E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B72E1">
        <w:rPr>
          <w:rFonts w:ascii="Palatino Linotype" w:hAnsi="Palatino Linotype" w:cs="Arial"/>
        </w:rPr>
        <w:t>cuyo rubro y texto dispone:</w:t>
      </w:r>
    </w:p>
    <w:p w:rsidR="003B72E1" w:rsidRPr="003B72E1" w:rsidRDefault="003B72E1" w:rsidP="003B72E1">
      <w:pPr>
        <w:pStyle w:val="Prrafodelista"/>
        <w:autoSpaceDE w:val="0"/>
        <w:autoSpaceDN w:val="0"/>
        <w:adjustRightInd w:val="0"/>
        <w:spacing w:line="360" w:lineRule="auto"/>
        <w:ind w:left="0"/>
        <w:jc w:val="both"/>
        <w:rPr>
          <w:rFonts w:ascii="Palatino Linotype" w:hAnsi="Palatino Linotype" w:cs="Arial"/>
        </w:rPr>
      </w:pPr>
    </w:p>
    <w:p w:rsidR="003B72E1" w:rsidRPr="003B72E1" w:rsidRDefault="003B72E1" w:rsidP="003B72E1">
      <w:pPr>
        <w:autoSpaceDE w:val="0"/>
        <w:autoSpaceDN w:val="0"/>
        <w:adjustRightInd w:val="0"/>
        <w:spacing w:line="360" w:lineRule="auto"/>
        <w:ind w:left="567" w:right="567"/>
        <w:jc w:val="both"/>
        <w:rPr>
          <w:rFonts w:ascii="Palatino Linotype" w:hAnsi="Palatino Linotype" w:cs="Arial"/>
          <w:b/>
          <w:i/>
          <w:lang w:eastAsia="es-MX"/>
        </w:rPr>
      </w:pPr>
      <w:r w:rsidRPr="003B72E1">
        <w:rPr>
          <w:rFonts w:ascii="Palatino Linotype" w:hAnsi="Palatino Linotype" w:cs="Arial"/>
          <w:b/>
          <w:i/>
          <w:lang w:eastAsia="es-MX"/>
        </w:rPr>
        <w:t>“CRITERIO 0002-11</w:t>
      </w:r>
    </w:p>
    <w:p w:rsidR="003B72E1" w:rsidRPr="003B72E1" w:rsidRDefault="003B72E1" w:rsidP="003B72E1">
      <w:pPr>
        <w:autoSpaceDE w:val="0"/>
        <w:autoSpaceDN w:val="0"/>
        <w:adjustRightInd w:val="0"/>
        <w:spacing w:line="360" w:lineRule="auto"/>
        <w:ind w:left="567" w:right="567"/>
        <w:jc w:val="both"/>
        <w:rPr>
          <w:rFonts w:ascii="Palatino Linotype" w:hAnsi="Palatino Linotype" w:cs="Arial"/>
          <w:i/>
          <w:lang w:eastAsia="es-MX"/>
        </w:rPr>
      </w:pPr>
      <w:r w:rsidRPr="003B72E1">
        <w:rPr>
          <w:rFonts w:ascii="Palatino Linotype" w:hAnsi="Palatino Linotype" w:cs="Arial"/>
          <w:b/>
          <w:i/>
          <w:lang w:eastAsia="es-MX"/>
        </w:rPr>
        <w:t xml:space="preserve">INFORMACIÓN PÚBLICA, CONCEPTO DE, EN MATERIA DE TRANSPARENCIA. INTERPRETACIÓN TEMÁTICA DE LOS ARTÍCULOS 2, FRACCIÓN </w:t>
      </w:r>
      <w:r w:rsidRPr="003B72E1">
        <w:rPr>
          <w:rFonts w:ascii="Palatino Linotype" w:hAnsi="Palatino Linotype" w:cs="Arial"/>
          <w:b/>
          <w:bCs/>
          <w:i/>
          <w:lang w:eastAsia="es-MX"/>
        </w:rPr>
        <w:t xml:space="preserve">V, XV, Y XVI, </w:t>
      </w:r>
      <w:r w:rsidRPr="003B72E1">
        <w:rPr>
          <w:rFonts w:ascii="Palatino Linotype" w:hAnsi="Palatino Linotype" w:cs="Arial"/>
          <w:b/>
          <w:i/>
          <w:lang w:eastAsia="es-MX"/>
        </w:rPr>
        <w:t>3, 4,11 Y 41.</w:t>
      </w:r>
      <w:r w:rsidRPr="003B72E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B72E1" w:rsidRPr="003B72E1" w:rsidRDefault="003B72E1" w:rsidP="003B72E1">
      <w:pPr>
        <w:autoSpaceDE w:val="0"/>
        <w:autoSpaceDN w:val="0"/>
        <w:adjustRightInd w:val="0"/>
        <w:spacing w:line="360" w:lineRule="auto"/>
        <w:ind w:left="567" w:right="567"/>
        <w:jc w:val="both"/>
        <w:rPr>
          <w:rFonts w:ascii="Palatino Linotype" w:hAnsi="Palatino Linotype" w:cs="Arial"/>
          <w:i/>
          <w:lang w:eastAsia="es-MX"/>
        </w:rPr>
      </w:pPr>
      <w:r w:rsidRPr="003B72E1">
        <w:rPr>
          <w:rFonts w:ascii="Palatino Linotype" w:hAnsi="Palatino Linotype" w:cs="Arial"/>
          <w:i/>
          <w:lang w:eastAsia="es-MX"/>
        </w:rPr>
        <w:t>En consecuencia el acceso a la información se refiere a que se cumplan cualquiera de los siguientes tres supuestos:</w:t>
      </w:r>
    </w:p>
    <w:p w:rsidR="003B72E1" w:rsidRPr="003B72E1" w:rsidRDefault="003B72E1" w:rsidP="003B72E1">
      <w:pPr>
        <w:autoSpaceDE w:val="0"/>
        <w:autoSpaceDN w:val="0"/>
        <w:adjustRightInd w:val="0"/>
        <w:spacing w:line="360" w:lineRule="auto"/>
        <w:ind w:left="567" w:right="567"/>
        <w:jc w:val="both"/>
        <w:rPr>
          <w:rFonts w:ascii="Palatino Linotype" w:hAnsi="Palatino Linotype" w:cs="Arial"/>
          <w:i/>
          <w:lang w:eastAsia="es-MX"/>
        </w:rPr>
      </w:pPr>
      <w:r w:rsidRPr="003B72E1">
        <w:rPr>
          <w:rFonts w:ascii="Palatino Linotype" w:hAnsi="Palatino Linotype" w:cs="Arial"/>
          <w:i/>
          <w:lang w:eastAsia="es-MX"/>
        </w:rPr>
        <w:t>Que se trate de información registrada en cualquier soporte documental, que en ejercicio de las atribuciones conferidas, sea generada por los Sujetos Obligados;</w:t>
      </w:r>
    </w:p>
    <w:p w:rsidR="003B72E1" w:rsidRPr="003B72E1" w:rsidRDefault="003B72E1" w:rsidP="003B72E1">
      <w:pPr>
        <w:autoSpaceDE w:val="0"/>
        <w:autoSpaceDN w:val="0"/>
        <w:adjustRightInd w:val="0"/>
        <w:spacing w:line="360" w:lineRule="auto"/>
        <w:ind w:left="567" w:right="567"/>
        <w:jc w:val="both"/>
        <w:rPr>
          <w:rFonts w:ascii="Palatino Linotype" w:hAnsi="Palatino Linotype" w:cs="Arial"/>
          <w:i/>
          <w:lang w:eastAsia="es-MX"/>
        </w:rPr>
      </w:pPr>
      <w:r w:rsidRPr="003B72E1">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3B72E1" w:rsidRPr="003B72E1" w:rsidRDefault="003B72E1" w:rsidP="003B72E1">
      <w:pPr>
        <w:spacing w:line="360" w:lineRule="auto"/>
        <w:ind w:left="567" w:right="567"/>
        <w:jc w:val="both"/>
        <w:rPr>
          <w:rFonts w:ascii="Palatino Linotype" w:hAnsi="Palatino Linotype" w:cs="Arial"/>
          <w:i/>
          <w:color w:val="000000" w:themeColor="text1"/>
        </w:rPr>
      </w:pPr>
      <w:r w:rsidRPr="003B72E1">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3B72E1" w:rsidRPr="003B72E1" w:rsidRDefault="003B72E1" w:rsidP="003B72E1">
      <w:pPr>
        <w:pStyle w:val="Prrafodelista"/>
        <w:numPr>
          <w:ilvl w:val="0"/>
          <w:numId w:val="3"/>
        </w:numPr>
        <w:spacing w:before="240" w:after="360" w:line="360" w:lineRule="auto"/>
        <w:ind w:left="0" w:firstLine="0"/>
        <w:jc w:val="both"/>
        <w:rPr>
          <w:rFonts w:ascii="Palatino Linotype" w:hAnsi="Palatino Linotype" w:cs="Arial"/>
          <w:i/>
          <w:color w:val="000000" w:themeColor="text1"/>
          <w:sz w:val="24"/>
        </w:rPr>
      </w:pPr>
      <w:r w:rsidRPr="003B72E1">
        <w:rPr>
          <w:rFonts w:ascii="Palatino Linotype" w:hAnsi="Palatino Linotype"/>
          <w:color w:val="000000" w:themeColor="text1"/>
          <w:sz w:val="24"/>
        </w:rPr>
        <w:t>En esa virtud, los</w:t>
      </w:r>
      <w:r w:rsidRPr="003B72E1">
        <w:rPr>
          <w:rStyle w:val="apple-converted-space"/>
          <w:rFonts w:ascii="Palatino Linotype" w:hAnsi="Palatino Linotype"/>
          <w:color w:val="000000" w:themeColor="text1"/>
          <w:sz w:val="24"/>
        </w:rPr>
        <w:t xml:space="preserve"> </w:t>
      </w:r>
      <w:r w:rsidRPr="003B72E1">
        <w:rPr>
          <w:rFonts w:ascii="Palatino Linotype" w:hAnsi="Palatino Linotype"/>
          <w:b/>
          <w:bCs/>
          <w:color w:val="000000" w:themeColor="text1"/>
          <w:sz w:val="24"/>
        </w:rPr>
        <w:t>Sujetos Obligados</w:t>
      </w:r>
      <w:r w:rsidRPr="003B72E1">
        <w:rPr>
          <w:rStyle w:val="apple-converted-space"/>
          <w:rFonts w:ascii="Palatino Linotype" w:hAnsi="Palatino Linotype"/>
          <w:color w:val="000000" w:themeColor="text1"/>
          <w:sz w:val="24"/>
        </w:rPr>
        <w:t xml:space="preserve"> </w:t>
      </w:r>
      <w:r w:rsidRPr="003B72E1">
        <w:rPr>
          <w:rFonts w:ascii="Palatino Linotype" w:hAnsi="Palatino Linotype"/>
          <w:color w:val="000000" w:themeColor="text1"/>
          <w:sz w:val="24"/>
        </w:rPr>
        <w:t>están constreñidos a entregar los documentos en los que conste la información que sea generada, poseída o administrada en el ejercicio de sus atribuciones a toda persona que lo solicite.</w:t>
      </w:r>
    </w:p>
    <w:p w:rsidR="003B72E1" w:rsidRPr="003B72E1" w:rsidRDefault="003B72E1" w:rsidP="003B72E1">
      <w:pPr>
        <w:pStyle w:val="Prrafodelista"/>
        <w:spacing w:before="240" w:after="360" w:line="360" w:lineRule="auto"/>
        <w:ind w:left="0"/>
        <w:jc w:val="both"/>
        <w:rPr>
          <w:rFonts w:ascii="Palatino Linotype" w:hAnsi="Palatino Linotype" w:cs="Arial"/>
          <w:i/>
          <w:color w:val="000000" w:themeColor="text1"/>
        </w:rPr>
      </w:pPr>
    </w:p>
    <w:p w:rsidR="003B72E1" w:rsidRDefault="003B72E1" w:rsidP="003B72E1">
      <w:pPr>
        <w:pStyle w:val="Prrafodelista"/>
        <w:numPr>
          <w:ilvl w:val="0"/>
          <w:numId w:val="3"/>
        </w:numPr>
        <w:spacing w:before="240" w:after="360" w:line="360" w:lineRule="auto"/>
        <w:ind w:left="0" w:firstLine="0"/>
        <w:jc w:val="both"/>
        <w:rPr>
          <w:rFonts w:ascii="Palatino Linotype" w:hAnsi="Palatino Linotype" w:cs="Arial"/>
          <w:color w:val="000000" w:themeColor="text1"/>
          <w:sz w:val="24"/>
        </w:rPr>
      </w:pPr>
      <w:r w:rsidRPr="003B72E1">
        <w:rPr>
          <w:rFonts w:ascii="Palatino Linotype" w:hAnsi="Palatino Linotype" w:cs="Arial"/>
          <w:color w:val="000000" w:themeColor="text1"/>
          <w:sz w:val="24"/>
        </w:rPr>
        <w:t>Para entender de mejor manera la importancia del acceso a la información dentro de las instituciones gubernamentales, es necesario referir que todas las autoridades en el ejercicio de sus funciones, atribuciones y competencias, tienen la obligación de documentar todo acto de autoridad que se derive de ellas, en razón de que las acciones que realicen están sujetas a escrutinio público. Toda vez que la ciudadanía tiene el derecho a que las autoridades le informen detalladamente las acciones que están realizando, en otras palabras, los particulares fungen como un medio de control sobre el ejercicio gubernamental, de ahí nace la importancia de ser informado.</w:t>
      </w:r>
    </w:p>
    <w:p w:rsidR="00A414BE" w:rsidRPr="00A414BE" w:rsidRDefault="00A414BE" w:rsidP="00A414BE">
      <w:pPr>
        <w:pStyle w:val="Prrafodelista"/>
        <w:rPr>
          <w:rFonts w:ascii="Palatino Linotype" w:hAnsi="Palatino Linotype" w:cs="Arial"/>
          <w:color w:val="000000" w:themeColor="text1"/>
          <w:sz w:val="24"/>
        </w:rPr>
      </w:pPr>
    </w:p>
    <w:p w:rsidR="00A414BE" w:rsidRPr="00A414BE" w:rsidRDefault="00A414BE" w:rsidP="00A414BE">
      <w:pPr>
        <w:pStyle w:val="Ttulo2"/>
        <w:numPr>
          <w:ilvl w:val="0"/>
          <w:numId w:val="26"/>
        </w:numPr>
        <w:rPr>
          <w:rFonts w:ascii="Palatino Linotype" w:hAnsi="Palatino Linotype"/>
          <w:b/>
          <w:color w:val="auto"/>
          <w:sz w:val="24"/>
        </w:rPr>
      </w:pPr>
      <w:r w:rsidRPr="00A414BE">
        <w:rPr>
          <w:rFonts w:ascii="Palatino Linotype" w:hAnsi="Palatino Linotype"/>
          <w:b/>
          <w:color w:val="auto"/>
          <w:sz w:val="24"/>
        </w:rPr>
        <w:t>De las formalidades para el ejercicio del Derecho de Acceso a la Información.</w:t>
      </w:r>
    </w:p>
    <w:p w:rsidR="00A414BE" w:rsidRPr="00A414BE" w:rsidRDefault="00A414BE" w:rsidP="00A414BE">
      <w:pPr>
        <w:pStyle w:val="Prrafodelista"/>
        <w:rPr>
          <w:rFonts w:ascii="Palatino Linotype" w:hAnsi="Palatino Linotype" w:cs="Arial"/>
          <w:color w:val="000000" w:themeColor="text1"/>
          <w:sz w:val="24"/>
        </w:rPr>
      </w:pPr>
    </w:p>
    <w:p w:rsidR="00A414BE" w:rsidRDefault="00A414BE" w:rsidP="003B72E1">
      <w:pPr>
        <w:pStyle w:val="Prrafodelista"/>
        <w:numPr>
          <w:ilvl w:val="0"/>
          <w:numId w:val="3"/>
        </w:numPr>
        <w:spacing w:before="240" w:after="36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El derecho de acceso a la información se caracteriza por ser de fácil ejercicio, es decir, a través de un procedimiento sencillo y entendible para cualquier persona. La Ley de Transparencia y Acceso a la Información Pública del Estado de México, prevé que cualquier persona sin necesidad de acudir a un representante legal puede formular las solicitudes de acceso a la información y posteriormente, de ser el caso, que la respuesta no le sea favorable, podrá interponer el recurso de revisión de la misma manera en que se presentó la solicitud, es decir, sin necesidad de recurrir a un representante legal.</w:t>
      </w:r>
    </w:p>
    <w:p w:rsidR="00A414BE" w:rsidRDefault="00A414BE" w:rsidP="00A414BE">
      <w:pPr>
        <w:pStyle w:val="Prrafodelista"/>
        <w:spacing w:before="240" w:after="360" w:line="360" w:lineRule="auto"/>
        <w:ind w:left="0"/>
        <w:jc w:val="both"/>
        <w:rPr>
          <w:rFonts w:ascii="Palatino Linotype" w:hAnsi="Palatino Linotype" w:cs="Arial"/>
          <w:color w:val="000000" w:themeColor="text1"/>
          <w:sz w:val="24"/>
        </w:rPr>
      </w:pPr>
    </w:p>
    <w:p w:rsidR="00A414BE" w:rsidRDefault="00A414BE" w:rsidP="003B72E1">
      <w:pPr>
        <w:pStyle w:val="Prrafodelista"/>
        <w:numPr>
          <w:ilvl w:val="0"/>
          <w:numId w:val="3"/>
        </w:numPr>
        <w:spacing w:before="240" w:after="36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Al no contar con una persona especializada que auxilie y oriente a los particulares para el correcto ejercicio del derecho de acceso a la información, es deber de todas las autoridades poner mayor inter</w:t>
      </w:r>
      <w:r w:rsidR="001E20CB">
        <w:rPr>
          <w:rFonts w:ascii="Palatino Linotype" w:hAnsi="Palatino Linotype" w:cs="Arial"/>
          <w:color w:val="000000" w:themeColor="text1"/>
          <w:sz w:val="24"/>
        </w:rPr>
        <w:t>és durante la sustanciación del procedimiento correspondiente; pues es muy común que los particulares no identifiquen el documento o información exacta a la que desean acceder, y en la medida de lo posible podamos, nosotros como autoridades realizar una suplencia a la deficiencia de la queja en favor de los recurrentes con el único fin de no causar una afectación al derecho accionado.</w:t>
      </w:r>
    </w:p>
    <w:p w:rsidR="001E20CB" w:rsidRPr="001E20CB" w:rsidRDefault="001E20CB" w:rsidP="001E20CB">
      <w:pPr>
        <w:pStyle w:val="Prrafodelista"/>
        <w:rPr>
          <w:rFonts w:ascii="Palatino Linotype" w:hAnsi="Palatino Linotype" w:cs="Arial"/>
          <w:color w:val="000000" w:themeColor="text1"/>
          <w:sz w:val="24"/>
        </w:rPr>
      </w:pPr>
    </w:p>
    <w:p w:rsidR="001E20CB" w:rsidRDefault="001E20CB" w:rsidP="003B72E1">
      <w:pPr>
        <w:pStyle w:val="Prrafodelista"/>
        <w:numPr>
          <w:ilvl w:val="0"/>
          <w:numId w:val="3"/>
        </w:numPr>
        <w:spacing w:before="240" w:after="36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Robustece lo anterior el criterio 16/17 de la Segunda Época, emitido por el Pleno del Instituto Nacional de Transparencia, Acceso a la Información y Protección de Datos Personales, que a la letra dispone lo siguiente:</w:t>
      </w:r>
    </w:p>
    <w:p w:rsidR="001E20CB" w:rsidRPr="00CF4850" w:rsidRDefault="001E20CB" w:rsidP="001E20CB">
      <w:pPr>
        <w:pStyle w:val="Sinespaciado"/>
        <w:ind w:left="567" w:right="567"/>
        <w:jc w:val="both"/>
        <w:rPr>
          <w:rFonts w:ascii="Palatino Linotype" w:hAnsi="Palatino Linotype"/>
          <w:i/>
        </w:rPr>
      </w:pPr>
      <w:r w:rsidRPr="00CF4850">
        <w:rPr>
          <w:rFonts w:ascii="Palatino Linotype" w:hAnsi="Palatino Linotype"/>
          <w:b/>
          <w:bCs/>
          <w:i/>
        </w:rPr>
        <w:t xml:space="preserve">Expresión documental. </w:t>
      </w:r>
      <w:r w:rsidRPr="00CF4850">
        <w:rPr>
          <w:rFonts w:ascii="Palatino Linotype" w:hAnsi="Palatino Linotype"/>
          <w:bCs/>
          <w:i/>
        </w:rPr>
        <w:t>Cuando</w:t>
      </w:r>
      <w:r w:rsidRPr="00CF4850">
        <w:rPr>
          <w:rFonts w:ascii="Palatino Linotype" w:hAnsi="Palatino Linotype"/>
          <w:i/>
          <w:lang w:val="es-ES"/>
        </w:rPr>
        <w:t xml:space="preserve"> los particulares presenten solicitudes de acceso a la información sin identificar de forma precisa la documentación que pudiera contener la información de su interés, </w:t>
      </w:r>
      <w:r w:rsidRPr="00CF4850">
        <w:rPr>
          <w:rFonts w:ascii="Palatino Linotype" w:hAnsi="Palatino Linotype"/>
          <w:i/>
        </w:rPr>
        <w:t>o bien, la solicitud constituya una consulta,</w:t>
      </w:r>
      <w:r w:rsidRPr="00CF4850">
        <w:rPr>
          <w:rFonts w:ascii="Palatino Linotype" w:hAnsi="Palatino Linotype"/>
          <w:i/>
          <w:lang w:val="es-ES"/>
        </w:rPr>
        <w:t xml:space="preserve"> pero la respuesta pudiera obrar en algún documento en poder de los sujetos obligados, éstos deben dar a dichas solicitudes una interpretación que les otorgue una expresión documental. </w:t>
      </w:r>
    </w:p>
    <w:p w:rsidR="001E20CB" w:rsidRPr="00CF4850" w:rsidRDefault="001E20CB" w:rsidP="001E20CB">
      <w:pPr>
        <w:pStyle w:val="Sinespaciado"/>
        <w:ind w:left="567" w:right="567"/>
        <w:jc w:val="both"/>
        <w:rPr>
          <w:rFonts w:ascii="Palatino Linotype" w:hAnsi="Palatino Linotype"/>
          <w:i/>
        </w:rPr>
      </w:pPr>
    </w:p>
    <w:p w:rsidR="001E20CB" w:rsidRPr="00CF4850" w:rsidRDefault="001E20CB" w:rsidP="001E20CB">
      <w:pPr>
        <w:pStyle w:val="Sinespaciado"/>
        <w:ind w:left="567" w:right="567"/>
        <w:jc w:val="both"/>
        <w:rPr>
          <w:rFonts w:ascii="Palatino Linotype" w:hAnsi="Palatino Linotype"/>
          <w:i/>
        </w:rPr>
      </w:pPr>
      <w:r w:rsidRPr="00CF4850">
        <w:rPr>
          <w:rFonts w:ascii="Palatino Linotype" w:hAnsi="Palatino Linotype"/>
          <w:i/>
        </w:rPr>
        <w:t>Resoluciones:</w:t>
      </w:r>
    </w:p>
    <w:p w:rsidR="001E20CB" w:rsidRPr="00CF4850" w:rsidRDefault="001E20CB" w:rsidP="001E20CB">
      <w:pPr>
        <w:pStyle w:val="Sinespaciado"/>
        <w:ind w:left="567" w:right="567"/>
        <w:jc w:val="both"/>
        <w:rPr>
          <w:rFonts w:ascii="Palatino Linotype" w:hAnsi="Palatino Linotype"/>
          <w:i/>
        </w:rPr>
      </w:pPr>
      <w:r w:rsidRPr="00CF4850">
        <w:rPr>
          <w:rFonts w:ascii="Palatino Linotype" w:hAnsi="Palatino Linotype"/>
          <w:i/>
        </w:rPr>
        <w:t>RRA 0774/16. Secretaría de Salud. 31 de agosto de 2016. Por unanimidad. Comisionada Ponente María Patricia Kurczyn Villalobos.</w:t>
      </w:r>
    </w:p>
    <w:p w:rsidR="001E20CB" w:rsidRPr="00CF4850" w:rsidRDefault="001E20CB" w:rsidP="001E20CB">
      <w:pPr>
        <w:pStyle w:val="Sinespaciado"/>
        <w:ind w:left="567" w:right="567"/>
        <w:jc w:val="both"/>
        <w:rPr>
          <w:rFonts w:ascii="Palatino Linotype" w:hAnsi="Palatino Linotype"/>
          <w:i/>
        </w:rPr>
      </w:pPr>
      <w:r w:rsidRPr="00CF4850">
        <w:rPr>
          <w:rFonts w:ascii="Palatino Linotype" w:hAnsi="Palatino Linotype"/>
          <w:i/>
        </w:rPr>
        <w:t xml:space="preserve">RRA 0143/17. Universidad Autónoma Agraria Antonio Narro. 22 de febrero de 2017. Por unanimidad. Comisionado Ponente Oscar Mauricio Guerra Ford. </w:t>
      </w:r>
    </w:p>
    <w:p w:rsidR="001E20CB" w:rsidRPr="00CF4850" w:rsidRDefault="001E20CB" w:rsidP="001E20CB">
      <w:pPr>
        <w:pStyle w:val="Sinespaciado"/>
        <w:ind w:left="567" w:right="567"/>
        <w:jc w:val="both"/>
        <w:rPr>
          <w:rFonts w:ascii="Palatino Linotype" w:hAnsi="Palatino Linotype"/>
          <w:i/>
        </w:rPr>
      </w:pPr>
      <w:r w:rsidRPr="00CF4850">
        <w:rPr>
          <w:rFonts w:ascii="Palatino Linotype" w:hAnsi="Palatino Linotype"/>
          <w:i/>
        </w:rPr>
        <w:t xml:space="preserve">RRA 0540/17. Secretaría de Economía. 08 de marzo del 2017. Por unanimidad. Comisionado Ponente Francisco Javier Acuña Llamas. </w:t>
      </w:r>
    </w:p>
    <w:p w:rsidR="001E20CB" w:rsidRDefault="001E20CB" w:rsidP="001E20CB">
      <w:pPr>
        <w:pStyle w:val="Prrafodelista"/>
        <w:numPr>
          <w:ilvl w:val="0"/>
          <w:numId w:val="3"/>
        </w:numPr>
        <w:spacing w:before="240" w:after="36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 xml:space="preserve">Lo anteriormente mencionado, cobra relevancia en el caso en concreto porque el recurrente </w:t>
      </w:r>
      <w:r w:rsidR="00362382">
        <w:rPr>
          <w:rFonts w:ascii="Palatino Linotype" w:hAnsi="Palatino Linotype" w:cs="Arial"/>
          <w:color w:val="000000" w:themeColor="text1"/>
          <w:sz w:val="24"/>
        </w:rPr>
        <w:t>al momento de formular la solicitud de acceso a la información utilizó el término “Comité Interno de Equidad de Género”, en consecuencia, el Sujeto Obligado atendió a literalidad la solicitud y refirió que no existe un Comité Interno de Equidad de Género y por lo tanto no pudo entregar la información.</w:t>
      </w:r>
    </w:p>
    <w:p w:rsidR="00362382" w:rsidRDefault="00362382" w:rsidP="00362382">
      <w:pPr>
        <w:pStyle w:val="Prrafodelista"/>
        <w:spacing w:before="240" w:after="360" w:line="360" w:lineRule="auto"/>
        <w:ind w:left="0"/>
        <w:jc w:val="both"/>
        <w:rPr>
          <w:rFonts w:ascii="Palatino Linotype" w:hAnsi="Palatino Linotype" w:cs="Arial"/>
          <w:color w:val="000000" w:themeColor="text1"/>
          <w:sz w:val="24"/>
        </w:rPr>
      </w:pPr>
    </w:p>
    <w:p w:rsidR="00362382" w:rsidRDefault="00362382" w:rsidP="001E20CB">
      <w:pPr>
        <w:pStyle w:val="Prrafodelista"/>
        <w:numPr>
          <w:ilvl w:val="0"/>
          <w:numId w:val="3"/>
        </w:numPr>
        <w:spacing w:before="240" w:after="36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De esa manera, se aprecia que el Sujeto Obligado con toda intención realizó una afectación al Derecho del particular, restringiendo el acceso a la información, toda vez que sabía claramente a qué tipo de información pretendía acceder.</w:t>
      </w:r>
    </w:p>
    <w:p w:rsidR="003B72E1" w:rsidRPr="003B72E1" w:rsidRDefault="003B72E1" w:rsidP="003B72E1">
      <w:pPr>
        <w:pStyle w:val="Ttulo2"/>
        <w:numPr>
          <w:ilvl w:val="0"/>
          <w:numId w:val="26"/>
        </w:numPr>
        <w:rPr>
          <w:rFonts w:ascii="Palatino Linotype" w:hAnsi="Palatino Linotype"/>
          <w:b/>
          <w:color w:val="auto"/>
          <w:sz w:val="24"/>
        </w:rPr>
      </w:pPr>
      <w:bookmarkStart w:id="5" w:name="_Toc535229624"/>
      <w:r w:rsidRPr="003B72E1">
        <w:rPr>
          <w:rFonts w:ascii="Palatino Linotype" w:hAnsi="Palatino Linotype"/>
          <w:b/>
          <w:color w:val="auto"/>
          <w:sz w:val="24"/>
        </w:rPr>
        <w:t>La igualdad de género y erradicación de violencia.</w:t>
      </w:r>
      <w:bookmarkEnd w:id="5"/>
    </w:p>
    <w:p w:rsidR="003B72E1" w:rsidRPr="003B72E1" w:rsidRDefault="003B72E1" w:rsidP="003B72E1">
      <w:pPr>
        <w:pStyle w:val="Prrafodelista"/>
        <w:ind w:left="0"/>
        <w:rPr>
          <w:rFonts w:ascii="Palatino Linotype" w:hAnsi="Palatino Linotype" w:cs="Arial"/>
          <w:color w:val="000000" w:themeColor="text1"/>
          <w:sz w:val="24"/>
        </w:rPr>
      </w:pPr>
    </w:p>
    <w:p w:rsidR="003B72E1" w:rsidRPr="003B72E1" w:rsidRDefault="003B72E1" w:rsidP="003B72E1">
      <w:pPr>
        <w:pStyle w:val="Prrafodelista"/>
        <w:numPr>
          <w:ilvl w:val="0"/>
          <w:numId w:val="3"/>
        </w:numPr>
        <w:spacing w:before="240" w:after="360" w:line="360" w:lineRule="auto"/>
        <w:ind w:left="0" w:firstLine="0"/>
        <w:jc w:val="both"/>
        <w:rPr>
          <w:rFonts w:ascii="Palatino Linotype" w:hAnsi="Palatino Linotype" w:cs="Arial"/>
          <w:color w:val="000000" w:themeColor="text1"/>
          <w:sz w:val="24"/>
        </w:rPr>
      </w:pPr>
      <w:r w:rsidRPr="003B72E1">
        <w:rPr>
          <w:rFonts w:ascii="Palatino Linotype" w:hAnsi="Palatino Linotype" w:cs="Arial"/>
          <w:color w:val="000000" w:themeColor="text1"/>
          <w:sz w:val="24"/>
        </w:rPr>
        <w:t>El artículo 1° de la Constitución Política de los Estados Unidos Mexicanos prohíbe la discriminación por cualquier situación que atente contra la dignidad humana y tenga por objeto anular o menoscabar los derechos y libertades de las personas; mientras que el artículo 4° sostiene que los hombres y las mujeres son iguales ante la ley.</w:t>
      </w:r>
    </w:p>
    <w:p w:rsidR="003B72E1" w:rsidRPr="003B72E1" w:rsidRDefault="003B72E1" w:rsidP="003B72E1">
      <w:pPr>
        <w:pStyle w:val="Prrafodelista"/>
        <w:spacing w:before="240" w:after="360" w:line="360" w:lineRule="auto"/>
        <w:ind w:left="0"/>
        <w:jc w:val="both"/>
        <w:rPr>
          <w:rFonts w:ascii="Palatino Linotype" w:hAnsi="Palatino Linotype" w:cs="Arial"/>
          <w:color w:val="000000" w:themeColor="text1"/>
          <w:sz w:val="24"/>
        </w:rPr>
      </w:pPr>
    </w:p>
    <w:p w:rsidR="003B72E1" w:rsidRPr="003B72E1" w:rsidRDefault="003B72E1" w:rsidP="003B72E1">
      <w:pPr>
        <w:pStyle w:val="Prrafodelista"/>
        <w:numPr>
          <w:ilvl w:val="0"/>
          <w:numId w:val="3"/>
        </w:numPr>
        <w:spacing w:before="240" w:after="360" w:line="360" w:lineRule="auto"/>
        <w:ind w:left="0" w:firstLine="0"/>
        <w:jc w:val="both"/>
        <w:rPr>
          <w:rFonts w:ascii="Palatino Linotype" w:hAnsi="Palatino Linotype" w:cs="Arial"/>
          <w:color w:val="000000" w:themeColor="text1"/>
          <w:sz w:val="24"/>
        </w:rPr>
      </w:pPr>
      <w:r w:rsidRPr="003B72E1">
        <w:rPr>
          <w:rFonts w:ascii="Palatino Linotype" w:hAnsi="Palatino Linotype" w:cs="Arial"/>
          <w:color w:val="000000" w:themeColor="text1"/>
          <w:sz w:val="24"/>
        </w:rPr>
        <w:t xml:space="preserve">Por lo anterior, debemos entender que la propia constitución nos mandata no discriminación y equidad de género en la sociedad. </w:t>
      </w:r>
    </w:p>
    <w:p w:rsidR="003B72E1" w:rsidRPr="003B72E1" w:rsidRDefault="003B72E1" w:rsidP="003B72E1">
      <w:pPr>
        <w:pStyle w:val="Prrafodelista"/>
        <w:spacing w:before="240" w:after="360" w:line="360" w:lineRule="auto"/>
        <w:ind w:left="0"/>
        <w:jc w:val="both"/>
        <w:rPr>
          <w:rFonts w:ascii="Palatino Linotype" w:hAnsi="Palatino Linotype" w:cs="Arial"/>
          <w:color w:val="000000" w:themeColor="text1"/>
          <w:sz w:val="24"/>
        </w:rPr>
      </w:pPr>
    </w:p>
    <w:p w:rsidR="003B72E1" w:rsidRPr="003B72E1" w:rsidRDefault="003B72E1" w:rsidP="003B72E1">
      <w:pPr>
        <w:pStyle w:val="Prrafodelista"/>
        <w:numPr>
          <w:ilvl w:val="0"/>
          <w:numId w:val="3"/>
        </w:numPr>
        <w:spacing w:before="240" w:after="360" w:line="360" w:lineRule="auto"/>
        <w:ind w:left="0" w:firstLine="0"/>
        <w:jc w:val="both"/>
        <w:rPr>
          <w:rFonts w:ascii="Palatino Linotype" w:hAnsi="Palatino Linotype" w:cs="Arial"/>
          <w:color w:val="000000" w:themeColor="text1"/>
          <w:sz w:val="24"/>
        </w:rPr>
      </w:pPr>
      <w:r w:rsidRPr="003B72E1">
        <w:rPr>
          <w:rFonts w:ascii="Palatino Linotype" w:hAnsi="Palatino Linotype" w:cs="Arial"/>
          <w:color w:val="000000" w:themeColor="text1"/>
          <w:sz w:val="24"/>
        </w:rPr>
        <w:t xml:space="preserve"> En los últimos años se ha difundido una campaña masiva sobre la igualdad de género y erradicación de violencia, no sólo a nivel nacional, sino a escalas internacionales y, el Estado de México ha iniciado acciones para que las mujeres tengan una adecuada integración dentro de una sociedad con las mismas oportunidades en todos los ámbitos, tanto laboral, social y personal, con la implementación de leyes como la </w:t>
      </w:r>
      <w:r w:rsidRPr="003B72E1">
        <w:rPr>
          <w:rFonts w:ascii="Palatino Linotype" w:hAnsi="Palatino Linotype" w:cs="Arial"/>
          <w:i/>
          <w:color w:val="000000" w:themeColor="text1"/>
        </w:rPr>
        <w:t>Ley de Acceso a las Mujeres a una Vida Libre de Violencia en el Estado de México</w:t>
      </w:r>
      <w:r w:rsidRPr="003B72E1">
        <w:rPr>
          <w:rStyle w:val="Refdenotaalpie"/>
          <w:rFonts w:ascii="Palatino Linotype" w:hAnsi="Palatino Linotype" w:cs="Arial"/>
          <w:color w:val="000000" w:themeColor="text1"/>
          <w:sz w:val="24"/>
        </w:rPr>
        <w:footnoteReference w:id="8"/>
      </w:r>
      <w:r w:rsidRPr="003B72E1">
        <w:rPr>
          <w:rFonts w:ascii="Palatino Linotype" w:hAnsi="Palatino Linotype" w:cs="Arial"/>
          <w:color w:val="000000" w:themeColor="text1"/>
          <w:sz w:val="24"/>
        </w:rPr>
        <w:t xml:space="preserve">; y la </w:t>
      </w:r>
      <w:r w:rsidRPr="003B72E1">
        <w:rPr>
          <w:rFonts w:ascii="Palatino Linotype" w:hAnsi="Palatino Linotype" w:cs="Arial"/>
          <w:i/>
          <w:color w:val="000000" w:themeColor="text1"/>
        </w:rPr>
        <w:t>Ley de Igualdad de Trato y Oportunidades entre Mujeres y Hombres del Estado de México</w:t>
      </w:r>
      <w:r w:rsidRPr="003B72E1">
        <w:rPr>
          <w:rStyle w:val="Refdenotaalpie"/>
          <w:rFonts w:ascii="Palatino Linotype" w:hAnsi="Palatino Linotype" w:cs="Arial"/>
          <w:color w:val="000000" w:themeColor="text1"/>
          <w:sz w:val="24"/>
        </w:rPr>
        <w:footnoteReference w:id="9"/>
      </w:r>
      <w:r w:rsidRPr="003B72E1">
        <w:rPr>
          <w:rFonts w:ascii="Palatino Linotype" w:hAnsi="Palatino Linotype" w:cs="Arial"/>
          <w:color w:val="000000" w:themeColor="text1"/>
          <w:sz w:val="24"/>
        </w:rPr>
        <w:t>. Esta última en el Capítulo Noveno Bis aborda el tema de Unidades de Igualdad de Género y Erradicación de Violencia y, en el artículo 34 Bis establece:</w:t>
      </w:r>
    </w:p>
    <w:p w:rsidR="003B72E1" w:rsidRPr="003B72E1" w:rsidRDefault="003B72E1" w:rsidP="003B72E1">
      <w:pPr>
        <w:pStyle w:val="Prrafodelista"/>
        <w:ind w:left="0"/>
        <w:rPr>
          <w:rFonts w:ascii="Palatino Linotype" w:hAnsi="Palatino Linotype" w:cs="Arial"/>
          <w:color w:val="000000" w:themeColor="text1"/>
          <w:sz w:val="24"/>
        </w:rPr>
      </w:pPr>
    </w:p>
    <w:p w:rsidR="003B72E1" w:rsidRPr="003B72E1" w:rsidRDefault="003B72E1" w:rsidP="003B72E1">
      <w:pPr>
        <w:pStyle w:val="Prrafodelista"/>
        <w:spacing w:before="240" w:after="360" w:line="360" w:lineRule="auto"/>
        <w:ind w:left="567" w:right="616"/>
        <w:jc w:val="both"/>
        <w:rPr>
          <w:rFonts w:ascii="Palatino Linotype" w:hAnsi="Palatino Linotype" w:cs="Arial"/>
          <w:i/>
          <w:color w:val="000000" w:themeColor="text1"/>
          <w:sz w:val="24"/>
        </w:rPr>
      </w:pPr>
      <w:r w:rsidRPr="003B72E1">
        <w:rPr>
          <w:rFonts w:ascii="Palatino Linotype" w:hAnsi="Palatino Linotype"/>
          <w:i/>
        </w:rPr>
        <w:t>Artículo 34 Bis.- Las dependencias del Ejecutivo, sus organismos auxiliares, los Poderes Legislativo y Judicial, organismos autónomos y municipios</w:t>
      </w:r>
      <w:r w:rsidRPr="003B72E1">
        <w:rPr>
          <w:rFonts w:ascii="Palatino Linotype" w:hAnsi="Palatino Linotype"/>
          <w:b/>
          <w:i/>
        </w:rPr>
        <w:t xml:space="preserve"> crearán Unidades de Igualdad de Género y Erradicación de la Violencia</w:t>
      </w:r>
      <w:r w:rsidRPr="003B72E1">
        <w:rPr>
          <w:rFonts w:ascii="Palatino Linotype" w:hAnsi="Palatino Linotype"/>
          <w:i/>
        </w:rPr>
        <w:t>, mediante criterios transversales, que tengan por objeto implementar e institucionalizar la perspectiva de género y fungir como órgano de consulta y asesoría en la instancia correspondiente.</w:t>
      </w:r>
    </w:p>
    <w:p w:rsidR="003B72E1" w:rsidRPr="003B72E1" w:rsidRDefault="003B72E1" w:rsidP="003B72E1">
      <w:pPr>
        <w:pStyle w:val="Prrafodelista"/>
        <w:spacing w:after="0" w:line="360" w:lineRule="auto"/>
        <w:ind w:left="0"/>
        <w:jc w:val="both"/>
        <w:rPr>
          <w:rFonts w:ascii="Palatino Linotype" w:hAnsi="Palatino Linotype" w:cs="Arial"/>
          <w:sz w:val="24"/>
          <w:szCs w:val="24"/>
        </w:rPr>
      </w:pPr>
    </w:p>
    <w:p w:rsidR="003B72E1" w:rsidRPr="003B72E1" w:rsidRDefault="003B72E1" w:rsidP="003B72E1">
      <w:pPr>
        <w:pStyle w:val="Prrafodelista"/>
        <w:numPr>
          <w:ilvl w:val="0"/>
          <w:numId w:val="3"/>
        </w:numPr>
        <w:spacing w:after="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Tal como he dicho anteriormente, en el Estado de México se han implementado acciones para fomentar la igualdad de género y a su vez, erradicar la violencia principalmente a las mujeres dentro del ámbito social, laboral y personal.</w:t>
      </w:r>
    </w:p>
    <w:p w:rsidR="003B72E1" w:rsidRPr="003B72E1" w:rsidRDefault="003B72E1" w:rsidP="003B72E1">
      <w:pPr>
        <w:pStyle w:val="Prrafodelista"/>
        <w:spacing w:after="0" w:line="360" w:lineRule="auto"/>
        <w:ind w:left="0"/>
        <w:jc w:val="both"/>
        <w:rPr>
          <w:rFonts w:ascii="Palatino Linotype" w:hAnsi="Palatino Linotype" w:cs="Arial"/>
          <w:sz w:val="24"/>
          <w:szCs w:val="24"/>
        </w:rPr>
      </w:pPr>
    </w:p>
    <w:p w:rsidR="003B72E1" w:rsidRPr="003B72E1" w:rsidRDefault="003B72E1" w:rsidP="003B72E1">
      <w:pPr>
        <w:pStyle w:val="Prrafodelista"/>
        <w:numPr>
          <w:ilvl w:val="0"/>
          <w:numId w:val="3"/>
        </w:numPr>
        <w:spacing w:after="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 xml:space="preserve">La </w:t>
      </w:r>
      <w:r w:rsidRPr="003B72E1">
        <w:rPr>
          <w:rFonts w:ascii="Palatino Linotype" w:hAnsi="Palatino Linotype" w:cs="Arial"/>
          <w:color w:val="000000" w:themeColor="text1"/>
          <w:sz w:val="24"/>
        </w:rPr>
        <w:t>Ley de Igualdad de Trato y Oportunidades entre Mujeres y Hombres del Estado de Méxic</w:t>
      </w:r>
      <w:r w:rsidRPr="003B72E1">
        <w:rPr>
          <w:rFonts w:ascii="Palatino Linotype" w:hAnsi="Palatino Linotype" w:cs="Arial"/>
          <w:sz w:val="24"/>
          <w:szCs w:val="24"/>
        </w:rPr>
        <w:t>o, establece que las Unidades de Igualdad de Género y Erradicación de Violencia tendrá entre sus atribuciones las siguientes:</w:t>
      </w:r>
    </w:p>
    <w:p w:rsidR="003B72E1" w:rsidRPr="003B72E1" w:rsidRDefault="003B72E1" w:rsidP="003B72E1">
      <w:pPr>
        <w:pStyle w:val="Prrafodelista"/>
        <w:ind w:left="0"/>
        <w:rPr>
          <w:rFonts w:ascii="Palatino Linotype" w:hAnsi="Palatino Linotype" w:cs="Arial"/>
          <w:sz w:val="24"/>
          <w:szCs w:val="24"/>
        </w:rPr>
      </w:pPr>
    </w:p>
    <w:p w:rsidR="003B72E1" w:rsidRPr="003B72E1" w:rsidRDefault="003B72E1" w:rsidP="003B72E1">
      <w:pPr>
        <w:pStyle w:val="Prrafodelista"/>
        <w:numPr>
          <w:ilvl w:val="0"/>
          <w:numId w:val="25"/>
        </w:numPr>
        <w:spacing w:after="0" w:line="360" w:lineRule="auto"/>
        <w:ind w:left="567" w:right="616" w:hanging="141"/>
        <w:jc w:val="both"/>
        <w:rPr>
          <w:rFonts w:ascii="Palatino Linotype" w:hAnsi="Palatino Linotype" w:cs="Arial"/>
          <w:i/>
        </w:rPr>
      </w:pPr>
      <w:r w:rsidRPr="003B72E1">
        <w:rPr>
          <w:rFonts w:ascii="Palatino Linotype" w:hAnsi="Palatino Linotype" w:cs="Arial"/>
          <w:i/>
        </w:rPr>
        <w:t xml:space="preserve">Promover y vigilar que sus planes, programas y acciones sean realizados con perspectiva de género; </w:t>
      </w:r>
    </w:p>
    <w:p w:rsidR="003B72E1" w:rsidRPr="003B72E1" w:rsidRDefault="003B72E1" w:rsidP="003B72E1">
      <w:pPr>
        <w:pStyle w:val="Prrafodelista"/>
        <w:numPr>
          <w:ilvl w:val="0"/>
          <w:numId w:val="25"/>
        </w:numPr>
        <w:spacing w:after="0" w:line="360" w:lineRule="auto"/>
        <w:ind w:left="567" w:right="616" w:firstLine="0"/>
        <w:jc w:val="both"/>
        <w:rPr>
          <w:rFonts w:ascii="Palatino Linotype" w:hAnsi="Palatino Linotype" w:cs="Arial"/>
          <w:i/>
          <w:sz w:val="24"/>
          <w:szCs w:val="24"/>
        </w:rPr>
      </w:pPr>
      <w:r w:rsidRPr="003B72E1">
        <w:rPr>
          <w:rFonts w:ascii="Palatino Linotype" w:hAnsi="Palatino Linotype" w:cs="Arial"/>
          <w:i/>
        </w:rPr>
        <w:t xml:space="preserve">Generar acciones con perspectiva de género que garanticen el acceso de las mujeres a una vida libre de violencia, promuevan la igualdad, el empoderamiento de las mujeres, el respeto a los derechos humanos y la eliminación de la discriminación; </w:t>
      </w:r>
    </w:p>
    <w:p w:rsidR="003B72E1" w:rsidRPr="003B72E1" w:rsidRDefault="003B72E1" w:rsidP="003B72E1">
      <w:pPr>
        <w:pStyle w:val="Prrafodelista"/>
        <w:numPr>
          <w:ilvl w:val="0"/>
          <w:numId w:val="25"/>
        </w:numPr>
        <w:spacing w:after="0" w:line="360" w:lineRule="auto"/>
        <w:ind w:left="567" w:right="616" w:firstLine="0"/>
        <w:jc w:val="both"/>
        <w:rPr>
          <w:rFonts w:ascii="Palatino Linotype" w:hAnsi="Palatino Linotype" w:cs="Arial"/>
          <w:i/>
          <w:sz w:val="24"/>
          <w:szCs w:val="24"/>
        </w:rPr>
      </w:pPr>
      <w:r w:rsidRPr="003B72E1">
        <w:rPr>
          <w:rFonts w:ascii="Palatino Linotype" w:hAnsi="Palatino Linotype" w:cs="Arial"/>
          <w:i/>
        </w:rPr>
        <w:t xml:space="preserve">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rsidR="003B72E1" w:rsidRPr="003B72E1" w:rsidRDefault="003B72E1" w:rsidP="003B72E1">
      <w:pPr>
        <w:pStyle w:val="Prrafodelista"/>
        <w:numPr>
          <w:ilvl w:val="0"/>
          <w:numId w:val="25"/>
        </w:numPr>
        <w:spacing w:after="0" w:line="360" w:lineRule="auto"/>
        <w:ind w:left="567" w:right="616" w:firstLine="0"/>
        <w:jc w:val="both"/>
        <w:rPr>
          <w:rFonts w:ascii="Palatino Linotype" w:hAnsi="Palatino Linotype" w:cs="Arial"/>
          <w:i/>
          <w:sz w:val="24"/>
          <w:szCs w:val="24"/>
        </w:rPr>
      </w:pPr>
      <w:r w:rsidRPr="003B72E1">
        <w:rPr>
          <w:rFonts w:ascii="Palatino Linotype" w:hAnsi="Palatino Linotype" w:cs="Arial"/>
          <w:i/>
        </w:rPr>
        <w:t xml:space="preserve">Coadyuvar en la elaboración de sus presupuestos con perspectiva de género, con la finalidad de incorporar acciones relacionadas con la materia; </w:t>
      </w:r>
    </w:p>
    <w:p w:rsidR="003B72E1" w:rsidRPr="003B72E1" w:rsidRDefault="003B72E1" w:rsidP="003B72E1">
      <w:pPr>
        <w:pStyle w:val="Prrafodelista"/>
        <w:numPr>
          <w:ilvl w:val="0"/>
          <w:numId w:val="25"/>
        </w:numPr>
        <w:spacing w:after="0" w:line="360" w:lineRule="auto"/>
        <w:ind w:left="567" w:right="616" w:firstLine="0"/>
        <w:jc w:val="both"/>
        <w:rPr>
          <w:rFonts w:ascii="Palatino Linotype" w:hAnsi="Palatino Linotype" w:cs="Arial"/>
          <w:i/>
          <w:sz w:val="24"/>
          <w:szCs w:val="24"/>
        </w:rPr>
      </w:pPr>
      <w:r w:rsidRPr="003B72E1">
        <w:rPr>
          <w:rFonts w:ascii="Palatino Linotype" w:hAnsi="Palatino Linotype" w:cs="Arial"/>
          <w:i/>
        </w:rPr>
        <w:t xml:space="preserve">Informar periódicamente, en el marco del Sistema Estatal, los resultados de la ejecución de sus planes y programas, con el propósito de integrar y rendir el informe anual correspondiente; </w:t>
      </w:r>
    </w:p>
    <w:p w:rsidR="003B72E1" w:rsidRPr="003B72E1" w:rsidRDefault="003B72E1" w:rsidP="003B72E1">
      <w:pPr>
        <w:pStyle w:val="Prrafodelista"/>
        <w:numPr>
          <w:ilvl w:val="0"/>
          <w:numId w:val="25"/>
        </w:numPr>
        <w:spacing w:after="0" w:line="360" w:lineRule="auto"/>
        <w:ind w:left="567" w:right="616" w:firstLine="0"/>
        <w:jc w:val="both"/>
        <w:rPr>
          <w:rFonts w:ascii="Palatino Linotype" w:hAnsi="Palatino Linotype" w:cs="Arial"/>
          <w:i/>
          <w:sz w:val="24"/>
          <w:szCs w:val="24"/>
        </w:rPr>
      </w:pPr>
      <w:r w:rsidRPr="003B72E1">
        <w:rPr>
          <w:rFonts w:ascii="Palatino Linotype" w:hAnsi="Palatino Linotype" w:cs="Arial"/>
          <w:i/>
        </w:rPr>
        <w:t>Ser el primer punto de contacto para los casos de acoso y hostigamiento sexual; y</w:t>
      </w:r>
    </w:p>
    <w:p w:rsidR="003B72E1" w:rsidRPr="003B72E1" w:rsidRDefault="003B72E1" w:rsidP="003B72E1">
      <w:pPr>
        <w:pStyle w:val="Prrafodelista"/>
        <w:numPr>
          <w:ilvl w:val="0"/>
          <w:numId w:val="25"/>
        </w:numPr>
        <w:spacing w:after="0" w:line="360" w:lineRule="auto"/>
        <w:ind w:left="567" w:right="616" w:firstLine="0"/>
        <w:jc w:val="both"/>
        <w:rPr>
          <w:rFonts w:ascii="Palatino Linotype" w:hAnsi="Palatino Linotype" w:cs="Arial"/>
          <w:i/>
          <w:sz w:val="24"/>
          <w:szCs w:val="24"/>
        </w:rPr>
      </w:pPr>
      <w:r w:rsidRPr="003B72E1">
        <w:rPr>
          <w:rFonts w:ascii="Palatino Linotype" w:hAnsi="Palatino Linotype" w:cs="Arial"/>
          <w:i/>
        </w:rPr>
        <w:t>Las demás que se establezcan en otras disposiciones jurídicas.</w:t>
      </w:r>
    </w:p>
    <w:p w:rsidR="003B72E1" w:rsidRPr="003B72E1" w:rsidRDefault="003B72E1" w:rsidP="003B72E1">
      <w:pPr>
        <w:pStyle w:val="Prrafodelista"/>
        <w:spacing w:after="0" w:line="360" w:lineRule="auto"/>
        <w:ind w:left="0"/>
        <w:jc w:val="both"/>
        <w:rPr>
          <w:rFonts w:ascii="Palatino Linotype" w:hAnsi="Palatino Linotype" w:cs="Arial"/>
          <w:sz w:val="24"/>
          <w:szCs w:val="24"/>
        </w:rPr>
      </w:pPr>
    </w:p>
    <w:p w:rsidR="003B72E1" w:rsidRPr="003B72E1" w:rsidRDefault="003B72E1" w:rsidP="003B72E1">
      <w:pPr>
        <w:pStyle w:val="Prrafodelista"/>
        <w:numPr>
          <w:ilvl w:val="0"/>
          <w:numId w:val="3"/>
        </w:numPr>
        <w:spacing w:after="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 xml:space="preserve">Con la normatividad antes citada, se aprecia que existe un gran interés del Gobierno del Estado de México para alcanzar la Equidad de Género y Erradicación de Violencia, aunado a ello, el Transitorio TERCERO del </w:t>
      </w:r>
      <w:r w:rsidRPr="003B72E1">
        <w:rPr>
          <w:rFonts w:ascii="Palatino Linotype" w:hAnsi="Palatino Linotype" w:cs="Arial"/>
          <w:i/>
          <w:szCs w:val="24"/>
        </w:rPr>
        <w:t>Decreto Número 309.- por el que se Reforman y Adicional Diversas Disposiciones de la Ley Orgánica de la Administración Pública del Estado de México, De la Ley de Acceso a las Mujeres a una Vida Libre de Violencia del Estado de México y de la Ley de Igualdad de Trato y Oportunidades entre Mujeres y Hombres del Estado de México</w:t>
      </w:r>
      <w:r w:rsidRPr="003B72E1">
        <w:rPr>
          <w:rStyle w:val="Refdenotaalpie"/>
          <w:rFonts w:ascii="Palatino Linotype" w:hAnsi="Palatino Linotype" w:cs="Arial"/>
          <w:i/>
          <w:szCs w:val="24"/>
        </w:rPr>
        <w:footnoteReference w:id="10"/>
      </w:r>
      <w:r w:rsidRPr="003B72E1">
        <w:rPr>
          <w:rFonts w:ascii="Palatino Linotype" w:hAnsi="Palatino Linotype" w:cs="Arial"/>
          <w:i/>
          <w:szCs w:val="24"/>
        </w:rPr>
        <w:t xml:space="preserve"> </w:t>
      </w:r>
      <w:r w:rsidRPr="003B72E1">
        <w:rPr>
          <w:rFonts w:ascii="Palatino Linotype" w:hAnsi="Palatino Linotype" w:cs="Arial"/>
          <w:sz w:val="24"/>
          <w:szCs w:val="24"/>
        </w:rPr>
        <w:t>refiere:</w:t>
      </w:r>
    </w:p>
    <w:p w:rsidR="003B72E1" w:rsidRPr="003B72E1" w:rsidRDefault="003B72E1" w:rsidP="003B72E1">
      <w:pPr>
        <w:pStyle w:val="Prrafodelista"/>
        <w:spacing w:after="0" w:line="360" w:lineRule="auto"/>
        <w:ind w:left="0"/>
        <w:jc w:val="both"/>
        <w:rPr>
          <w:rFonts w:ascii="Palatino Linotype" w:hAnsi="Palatino Linotype" w:cs="Arial"/>
          <w:i/>
          <w:sz w:val="24"/>
          <w:szCs w:val="24"/>
        </w:rPr>
      </w:pPr>
    </w:p>
    <w:p w:rsidR="003B72E1" w:rsidRPr="003B72E1" w:rsidRDefault="003B72E1" w:rsidP="003B72E1">
      <w:pPr>
        <w:pStyle w:val="Prrafodelista"/>
        <w:spacing w:after="0" w:line="360" w:lineRule="auto"/>
        <w:ind w:left="567" w:right="616"/>
        <w:jc w:val="both"/>
        <w:rPr>
          <w:rFonts w:ascii="Palatino Linotype" w:hAnsi="Palatino Linotype" w:cs="Arial"/>
          <w:i/>
          <w:sz w:val="24"/>
          <w:szCs w:val="24"/>
        </w:rPr>
      </w:pPr>
      <w:r w:rsidRPr="003B72E1">
        <w:rPr>
          <w:rFonts w:ascii="Palatino Linotype" w:hAnsi="Palatino Linotype"/>
          <w:i/>
        </w:rPr>
        <w:t xml:space="preserve">TERCERO. Las dependencias del Ejecutivo y sus organismos auxiliares, los Poderes Legislativo y Judicial, los organismos autónomos y los municipios, crearán las Unidades de Igualdad de Género y Erradicación de la Violencia con base a la suficiencia presupuestal correspondiente </w:t>
      </w:r>
    </w:p>
    <w:p w:rsidR="003B72E1" w:rsidRPr="003B72E1" w:rsidRDefault="003B72E1" w:rsidP="003B72E1">
      <w:pPr>
        <w:pStyle w:val="Prrafodelista"/>
        <w:spacing w:after="0" w:line="360" w:lineRule="auto"/>
        <w:ind w:left="0"/>
        <w:jc w:val="both"/>
        <w:rPr>
          <w:rFonts w:ascii="Palatino Linotype" w:hAnsi="Palatino Linotype" w:cs="Arial"/>
          <w:sz w:val="24"/>
          <w:szCs w:val="24"/>
        </w:rPr>
      </w:pPr>
    </w:p>
    <w:p w:rsidR="003B72E1" w:rsidRPr="003B72E1" w:rsidRDefault="003B72E1" w:rsidP="003B72E1">
      <w:pPr>
        <w:pStyle w:val="Prrafodelista"/>
        <w:numPr>
          <w:ilvl w:val="0"/>
          <w:numId w:val="3"/>
        </w:numPr>
        <w:spacing w:after="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Es así que en el Estado de México se pretende implementar acciones que ayuden a difundir la Igualdad de Género y Erradicación de Violencia. La Universidad Politécnica del Valle de Toluca no ha pasado por alto este tema, tan es así que, en el informe de actividades del año 2016</w:t>
      </w:r>
      <w:r w:rsidRPr="003B72E1">
        <w:rPr>
          <w:rStyle w:val="Refdenotaalpie"/>
          <w:rFonts w:ascii="Palatino Linotype" w:hAnsi="Palatino Linotype" w:cs="Arial"/>
          <w:sz w:val="24"/>
          <w:szCs w:val="24"/>
        </w:rPr>
        <w:footnoteReference w:id="11"/>
      </w:r>
      <w:r w:rsidRPr="003B72E1">
        <w:rPr>
          <w:rFonts w:ascii="Palatino Linotype" w:hAnsi="Palatino Linotype" w:cs="Arial"/>
          <w:sz w:val="24"/>
          <w:szCs w:val="24"/>
        </w:rPr>
        <w:t xml:space="preserve"> tiene un apartado denominado “Equidad de Género”, asimismo menciona </w:t>
      </w:r>
      <w:r w:rsidRPr="003B72E1">
        <w:rPr>
          <w:rFonts w:ascii="Palatino Linotype" w:hAnsi="Palatino Linotype" w:cs="Arial"/>
          <w:i/>
          <w:szCs w:val="24"/>
        </w:rPr>
        <w:t xml:space="preserve">“El desarrollo de un clima laboral sano que permita a los integrantes de la UPVT desarrollar sus actividades de manera satisfactoria, permitió a esta Casa de Estudios lograr la certificación en materia de Igualdad Laboral y No discriminación.” </w:t>
      </w:r>
    </w:p>
    <w:p w:rsidR="003B72E1" w:rsidRPr="003B72E1" w:rsidRDefault="003B72E1" w:rsidP="003B72E1">
      <w:pPr>
        <w:pStyle w:val="Prrafodelista"/>
        <w:spacing w:after="0" w:line="360" w:lineRule="auto"/>
        <w:ind w:left="0"/>
        <w:jc w:val="both"/>
        <w:rPr>
          <w:rFonts w:ascii="Palatino Linotype" w:hAnsi="Palatino Linotype" w:cs="Arial"/>
          <w:sz w:val="24"/>
          <w:szCs w:val="24"/>
        </w:rPr>
      </w:pPr>
    </w:p>
    <w:p w:rsidR="003B72E1" w:rsidRPr="003B72E1" w:rsidRDefault="003B72E1" w:rsidP="003B72E1">
      <w:pPr>
        <w:pStyle w:val="Prrafodelista"/>
        <w:numPr>
          <w:ilvl w:val="0"/>
          <w:numId w:val="3"/>
        </w:numPr>
        <w:spacing w:after="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 xml:space="preserve">Posteriormente, entre los programas extraordinarios, del informe anual de actividades antes referido, se localiza el Programa </w:t>
      </w:r>
      <w:r w:rsidRPr="003B72E1">
        <w:rPr>
          <w:rFonts w:ascii="Palatino Linotype" w:hAnsi="Palatino Linotype" w:cs="Arial"/>
          <w:i/>
          <w:szCs w:val="24"/>
        </w:rPr>
        <w:t>“PADES”</w:t>
      </w:r>
      <w:r w:rsidRPr="003B72E1">
        <w:rPr>
          <w:rFonts w:ascii="Palatino Linotype" w:hAnsi="Palatino Linotype" w:cs="Arial"/>
          <w:sz w:val="24"/>
          <w:szCs w:val="24"/>
        </w:rPr>
        <w:t xml:space="preserve">, que a su vez, cuenta con el proyecto </w:t>
      </w:r>
      <w:r w:rsidRPr="003B72E1">
        <w:rPr>
          <w:rFonts w:ascii="Palatino Linotype" w:hAnsi="Palatino Linotype" w:cs="Arial"/>
          <w:i/>
          <w:szCs w:val="24"/>
        </w:rPr>
        <w:t xml:space="preserve">“Fortalecimiento el programa de equidad de género de la UPVT”. </w:t>
      </w:r>
      <w:r w:rsidRPr="003B72E1">
        <w:rPr>
          <w:rFonts w:ascii="Palatino Linotype" w:hAnsi="Palatino Linotype" w:cs="Arial"/>
          <w:szCs w:val="24"/>
        </w:rPr>
        <w:t>Finalmente, entre en sus metas insertan el siguiente recuadro:</w:t>
      </w:r>
    </w:p>
    <w:p w:rsidR="003B72E1" w:rsidRPr="003B72E1" w:rsidRDefault="003B72E1" w:rsidP="003B72E1">
      <w:pPr>
        <w:pStyle w:val="Prrafodelista"/>
        <w:spacing w:after="0" w:line="360" w:lineRule="auto"/>
        <w:ind w:left="0"/>
        <w:jc w:val="both"/>
        <w:rPr>
          <w:rFonts w:ascii="Palatino Linotype" w:hAnsi="Palatino Linotype" w:cs="Arial"/>
          <w:szCs w:val="24"/>
        </w:rPr>
      </w:pPr>
    </w:p>
    <w:p w:rsidR="003B72E1" w:rsidRPr="003B72E1" w:rsidRDefault="003B72E1" w:rsidP="003B72E1">
      <w:pPr>
        <w:pStyle w:val="Prrafodelista"/>
        <w:spacing w:after="0" w:line="360" w:lineRule="auto"/>
        <w:ind w:left="0"/>
        <w:jc w:val="both"/>
        <w:rPr>
          <w:rFonts w:ascii="Palatino Linotype" w:hAnsi="Palatino Linotype" w:cs="Arial"/>
          <w:sz w:val="24"/>
          <w:szCs w:val="24"/>
        </w:rPr>
      </w:pPr>
      <w:r w:rsidRPr="003B72E1">
        <w:rPr>
          <w:rFonts w:ascii="Palatino Linotype" w:hAnsi="Palatino Linotype"/>
          <w:noProof/>
          <w:lang w:eastAsia="es-MX"/>
        </w:rPr>
        <w:drawing>
          <wp:inline distT="0" distB="0" distL="0" distR="0" wp14:anchorId="0783ED91" wp14:editId="6B3D7D2F">
            <wp:extent cx="5306837" cy="383573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622" t="21821" r="31019" b="13465"/>
                    <a:stretch/>
                  </pic:blipFill>
                  <pic:spPr bwMode="auto">
                    <a:xfrm>
                      <a:off x="0" y="0"/>
                      <a:ext cx="5321105" cy="3846043"/>
                    </a:xfrm>
                    <a:prstGeom prst="rect">
                      <a:avLst/>
                    </a:prstGeom>
                    <a:ln>
                      <a:noFill/>
                    </a:ln>
                    <a:extLst>
                      <a:ext uri="{53640926-AAD7-44D8-BBD7-CCE9431645EC}">
                        <a14:shadowObscured xmlns:a14="http://schemas.microsoft.com/office/drawing/2010/main"/>
                      </a:ext>
                    </a:extLst>
                  </pic:spPr>
                </pic:pic>
              </a:graphicData>
            </a:graphic>
          </wp:inline>
        </w:drawing>
      </w:r>
    </w:p>
    <w:p w:rsidR="003B72E1" w:rsidRPr="003B72E1" w:rsidRDefault="003B72E1" w:rsidP="003B72E1">
      <w:pPr>
        <w:pStyle w:val="Prrafodelista"/>
        <w:spacing w:after="0" w:line="360" w:lineRule="auto"/>
        <w:ind w:left="0"/>
        <w:jc w:val="both"/>
        <w:rPr>
          <w:rFonts w:ascii="Palatino Linotype" w:hAnsi="Palatino Linotype" w:cs="Arial"/>
          <w:sz w:val="24"/>
          <w:szCs w:val="24"/>
        </w:rPr>
      </w:pPr>
    </w:p>
    <w:p w:rsidR="003B72E1" w:rsidRPr="00D25878" w:rsidRDefault="003B72E1" w:rsidP="003B72E1">
      <w:pPr>
        <w:pStyle w:val="Prrafodelista"/>
        <w:numPr>
          <w:ilvl w:val="0"/>
          <w:numId w:val="3"/>
        </w:numPr>
        <w:spacing w:after="0" w:line="360" w:lineRule="auto"/>
        <w:ind w:left="0" w:firstLine="0"/>
        <w:jc w:val="both"/>
        <w:rPr>
          <w:rFonts w:ascii="Palatino Linotype" w:hAnsi="Palatino Linotype" w:cs="Arial"/>
          <w:szCs w:val="24"/>
        </w:rPr>
      </w:pPr>
      <w:r w:rsidRPr="00D25878">
        <w:rPr>
          <w:rFonts w:ascii="Palatino Linotype" w:hAnsi="Palatino Linotype" w:cs="Arial"/>
          <w:szCs w:val="24"/>
        </w:rPr>
        <w:t>Se aprecia que la Universidad Politécnica del Valle de Toluca realizó acciones a favor de la equidad de género y para prevenir violencia en las instalaciones con las que se alcanzaron las metas propuestas como se observa en el recuadro insertado, aunado a ello, como se ha dicho anteriormente, la Universidad se encuentra certificada en la materia.</w:t>
      </w:r>
    </w:p>
    <w:p w:rsidR="00362382" w:rsidRPr="00D25878" w:rsidRDefault="00362382" w:rsidP="00362382">
      <w:pPr>
        <w:pStyle w:val="Prrafodelista"/>
        <w:spacing w:after="0" w:line="360" w:lineRule="auto"/>
        <w:ind w:left="0"/>
        <w:jc w:val="both"/>
        <w:rPr>
          <w:rFonts w:ascii="Palatino Linotype" w:hAnsi="Palatino Linotype" w:cs="Arial"/>
          <w:szCs w:val="24"/>
        </w:rPr>
      </w:pPr>
    </w:p>
    <w:p w:rsidR="00362382" w:rsidRPr="00D25878" w:rsidRDefault="00362382" w:rsidP="003B72E1">
      <w:pPr>
        <w:pStyle w:val="Prrafodelista"/>
        <w:numPr>
          <w:ilvl w:val="0"/>
          <w:numId w:val="3"/>
        </w:numPr>
        <w:spacing w:after="0" w:line="360" w:lineRule="auto"/>
        <w:ind w:left="0" w:firstLine="0"/>
        <w:jc w:val="both"/>
        <w:rPr>
          <w:rFonts w:ascii="Palatino Linotype" w:hAnsi="Palatino Linotype" w:cs="Arial"/>
          <w:szCs w:val="24"/>
        </w:rPr>
      </w:pPr>
      <w:r w:rsidRPr="00D25878">
        <w:rPr>
          <w:rFonts w:ascii="Palatino Linotype" w:hAnsi="Palatino Linotype" w:cs="Arial"/>
          <w:szCs w:val="24"/>
        </w:rPr>
        <w:t xml:space="preserve">No conforme con lo anterior, se </w:t>
      </w:r>
      <w:r w:rsidR="00D25878" w:rsidRPr="00D25878">
        <w:rPr>
          <w:rFonts w:ascii="Palatino Linotype" w:hAnsi="Palatino Linotype" w:cs="Arial"/>
          <w:szCs w:val="24"/>
        </w:rPr>
        <w:t xml:space="preserve">tiene conocimiento de </w:t>
      </w:r>
      <w:r w:rsidRPr="00D25878">
        <w:rPr>
          <w:rFonts w:ascii="Palatino Linotype" w:hAnsi="Palatino Linotype" w:cs="Arial"/>
          <w:szCs w:val="24"/>
        </w:rPr>
        <w:t xml:space="preserve">recursos de revisión que el Pleno de este Instituto ha resuelto en donde el Sujeto Obligado es la Universidad Politécnica del Valle de Toluca y se ha ordenado la entrega de la información </w:t>
      </w:r>
      <w:r w:rsidR="00D25878" w:rsidRPr="00D25878">
        <w:rPr>
          <w:rFonts w:ascii="Palatino Linotype" w:hAnsi="Palatino Linotype" w:cs="Arial"/>
          <w:szCs w:val="24"/>
        </w:rPr>
        <w:t xml:space="preserve">relativa al </w:t>
      </w:r>
      <w:r w:rsidRPr="00D25878">
        <w:rPr>
          <w:rFonts w:ascii="Palatino Linotype" w:hAnsi="Palatino Linotype" w:cs="Arial"/>
          <w:szCs w:val="24"/>
        </w:rPr>
        <w:t>área de Equidad de Género o bien que se realice acuerd</w:t>
      </w:r>
      <w:r w:rsidR="00D25878" w:rsidRPr="00D25878">
        <w:rPr>
          <w:rFonts w:ascii="Palatino Linotype" w:hAnsi="Palatino Linotype" w:cs="Arial"/>
          <w:szCs w:val="24"/>
        </w:rPr>
        <w:t>o de inexistencia en caso de no contar con ella.</w:t>
      </w:r>
    </w:p>
    <w:p w:rsidR="003B72E1" w:rsidRPr="00D25878" w:rsidRDefault="003B72E1" w:rsidP="003B72E1">
      <w:pPr>
        <w:pStyle w:val="Prrafodelista"/>
        <w:numPr>
          <w:ilvl w:val="0"/>
          <w:numId w:val="3"/>
        </w:numPr>
        <w:spacing w:after="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 xml:space="preserve">Por lo anterior, considero que, si la Universidad realiza acciones en materia de equidad de género y erradicación de violencia, es necesario que destine presupuesto para instaurar una Unidad de Genero como lo dispone la </w:t>
      </w:r>
      <w:r w:rsidRPr="003B72E1">
        <w:rPr>
          <w:rFonts w:ascii="Palatino Linotype" w:hAnsi="Palatino Linotype" w:cs="Arial"/>
          <w:color w:val="000000" w:themeColor="text1"/>
          <w:sz w:val="24"/>
        </w:rPr>
        <w:t>Ley de Igualdad de Trato y Oportunidades entre Mujeres y Hombres del Estado de México.</w:t>
      </w:r>
    </w:p>
    <w:p w:rsidR="00D25878" w:rsidRPr="003B72E1" w:rsidRDefault="00D25878" w:rsidP="00D25878">
      <w:pPr>
        <w:pStyle w:val="Prrafodelista"/>
        <w:spacing w:after="0" w:line="360" w:lineRule="auto"/>
        <w:ind w:left="0"/>
        <w:jc w:val="both"/>
        <w:rPr>
          <w:rFonts w:ascii="Palatino Linotype" w:hAnsi="Palatino Linotype" w:cs="Arial"/>
          <w:sz w:val="24"/>
          <w:szCs w:val="24"/>
        </w:rPr>
      </w:pPr>
    </w:p>
    <w:p w:rsidR="003B72E1" w:rsidRDefault="003B72E1" w:rsidP="003B72E1">
      <w:pPr>
        <w:pStyle w:val="Ttulo1"/>
        <w:numPr>
          <w:ilvl w:val="0"/>
          <w:numId w:val="23"/>
        </w:numPr>
        <w:rPr>
          <w:rFonts w:ascii="Palatino Linotype" w:hAnsi="Palatino Linotype"/>
          <w:b/>
          <w:color w:val="auto"/>
          <w:sz w:val="24"/>
          <w:szCs w:val="24"/>
        </w:rPr>
      </w:pPr>
      <w:bookmarkStart w:id="6" w:name="_Toc535229625"/>
      <w:r w:rsidRPr="003B72E1">
        <w:rPr>
          <w:rFonts w:ascii="Palatino Linotype" w:hAnsi="Palatino Linotype"/>
          <w:b/>
          <w:color w:val="auto"/>
          <w:sz w:val="24"/>
          <w:szCs w:val="24"/>
        </w:rPr>
        <w:t>Conclusión.</w:t>
      </w:r>
      <w:bookmarkEnd w:id="6"/>
    </w:p>
    <w:p w:rsidR="00D25878" w:rsidRPr="00D25878" w:rsidRDefault="00D25878" w:rsidP="00D25878"/>
    <w:p w:rsidR="003B72E1" w:rsidRDefault="003B72E1" w:rsidP="003B72E1">
      <w:pPr>
        <w:pStyle w:val="Prrafodelista"/>
        <w:numPr>
          <w:ilvl w:val="0"/>
          <w:numId w:val="3"/>
        </w:numPr>
        <w:spacing w:after="0" w:line="360" w:lineRule="auto"/>
        <w:ind w:left="0" w:firstLine="0"/>
        <w:jc w:val="both"/>
        <w:rPr>
          <w:rFonts w:ascii="Palatino Linotype" w:hAnsi="Palatino Linotype" w:cs="Arial"/>
          <w:sz w:val="24"/>
          <w:szCs w:val="24"/>
        </w:rPr>
      </w:pPr>
      <w:r w:rsidRPr="003B72E1">
        <w:rPr>
          <w:rFonts w:ascii="Palatino Linotype" w:hAnsi="Palatino Linotype" w:cs="Arial"/>
          <w:sz w:val="24"/>
          <w:szCs w:val="24"/>
        </w:rPr>
        <w:t>La Igualdad de Género y Errad</w:t>
      </w:r>
      <w:r w:rsidR="00D25878">
        <w:rPr>
          <w:rFonts w:ascii="Palatino Linotype" w:hAnsi="Palatino Linotype" w:cs="Arial"/>
          <w:sz w:val="24"/>
          <w:szCs w:val="24"/>
        </w:rPr>
        <w:t>icación de Violencia es un tema que en la actualidad es</w:t>
      </w:r>
      <w:r w:rsidRPr="003B72E1">
        <w:rPr>
          <w:rFonts w:ascii="Palatino Linotype" w:hAnsi="Palatino Linotype" w:cs="Arial"/>
          <w:sz w:val="24"/>
          <w:szCs w:val="24"/>
        </w:rPr>
        <w:t xml:space="preserve"> de gran importancia, tan es así que el Gobierno del Estado de México ha exhortado a todas las Instituciones Públicas para que dentro de </w:t>
      </w:r>
      <w:r w:rsidR="00D25878">
        <w:rPr>
          <w:rFonts w:ascii="Palatino Linotype" w:hAnsi="Palatino Linotype" w:cs="Arial"/>
          <w:sz w:val="24"/>
          <w:szCs w:val="24"/>
        </w:rPr>
        <w:t xml:space="preserve">éstas, </w:t>
      </w:r>
      <w:r w:rsidRPr="003B72E1">
        <w:rPr>
          <w:rFonts w:ascii="Palatino Linotype" w:hAnsi="Palatino Linotype" w:cs="Arial"/>
          <w:sz w:val="24"/>
          <w:szCs w:val="24"/>
        </w:rPr>
        <w:t>sean instaladas Unidades de Género, que ayuden</w:t>
      </w:r>
      <w:r w:rsidR="00D25878">
        <w:rPr>
          <w:rFonts w:ascii="Palatino Linotype" w:hAnsi="Palatino Linotype" w:cs="Arial"/>
          <w:sz w:val="24"/>
          <w:szCs w:val="24"/>
        </w:rPr>
        <w:t xml:space="preserve"> a realizar acciones en favor fomentar la equidad de género y ayuden, a su vez, a erradicar la violencia principalmente a las mujeres</w:t>
      </w:r>
      <w:r w:rsidRPr="003B72E1">
        <w:rPr>
          <w:rFonts w:ascii="Palatino Linotype" w:hAnsi="Palatino Linotype" w:cs="Arial"/>
          <w:sz w:val="24"/>
          <w:szCs w:val="24"/>
        </w:rPr>
        <w:t>. Por lo que es necesario que se hagan las gestiones necesarias con la finalidad de poner en marcha lo más pronto posible las Unidades de Género.</w:t>
      </w:r>
    </w:p>
    <w:p w:rsidR="00D25878" w:rsidRDefault="00D25878" w:rsidP="00D25878">
      <w:pPr>
        <w:spacing w:after="0" w:line="360" w:lineRule="auto"/>
        <w:jc w:val="both"/>
        <w:rPr>
          <w:rFonts w:ascii="Palatino Linotype" w:hAnsi="Palatino Linotype" w:cs="Arial"/>
          <w:sz w:val="24"/>
          <w:szCs w:val="24"/>
        </w:rPr>
      </w:pPr>
    </w:p>
    <w:p w:rsidR="00D25878" w:rsidRDefault="00D25878" w:rsidP="00D25878">
      <w:pPr>
        <w:spacing w:after="0" w:line="360" w:lineRule="auto"/>
        <w:jc w:val="both"/>
        <w:rPr>
          <w:rFonts w:ascii="Palatino Linotype" w:hAnsi="Palatino Linotype" w:cs="Arial"/>
          <w:sz w:val="24"/>
          <w:szCs w:val="24"/>
        </w:rPr>
      </w:pPr>
    </w:p>
    <w:p w:rsidR="003B72E1" w:rsidRPr="003B72E1" w:rsidRDefault="003B72E1" w:rsidP="003B72E1">
      <w:pPr>
        <w:spacing w:after="0" w:line="360" w:lineRule="auto"/>
        <w:jc w:val="both"/>
        <w:rPr>
          <w:rFonts w:ascii="Palatino Linotype" w:hAnsi="Palatino Linotype" w:cs="Arial"/>
          <w:sz w:val="24"/>
          <w:szCs w:val="24"/>
        </w:rPr>
      </w:pPr>
    </w:p>
    <w:p w:rsidR="003B72E1" w:rsidRPr="003B72E1" w:rsidRDefault="003B72E1" w:rsidP="003B72E1">
      <w:pPr>
        <w:spacing w:line="360" w:lineRule="auto"/>
        <w:jc w:val="center"/>
        <w:rPr>
          <w:rFonts w:ascii="Palatino Linotype" w:eastAsia="Calibri" w:hAnsi="Palatino Linotype" w:cs="Arial"/>
          <w:b/>
          <w:sz w:val="24"/>
          <w:szCs w:val="24"/>
        </w:rPr>
      </w:pPr>
      <w:r w:rsidRPr="003B72E1">
        <w:rPr>
          <w:rFonts w:ascii="Palatino Linotype" w:eastAsia="Calibri" w:hAnsi="Palatino Linotype" w:cs="Arial"/>
          <w:b/>
          <w:sz w:val="24"/>
          <w:szCs w:val="24"/>
        </w:rPr>
        <w:t>JOSÉ GUADALUPE LUNA HERNÁNDEZ</w:t>
      </w:r>
    </w:p>
    <w:p w:rsidR="003B72E1" w:rsidRDefault="003B72E1" w:rsidP="003B72E1">
      <w:pPr>
        <w:spacing w:line="360" w:lineRule="auto"/>
        <w:jc w:val="center"/>
        <w:rPr>
          <w:rFonts w:ascii="Palatino Linotype" w:eastAsia="Calibri" w:hAnsi="Palatino Linotype" w:cs="Arial"/>
          <w:b/>
          <w:sz w:val="24"/>
          <w:szCs w:val="24"/>
        </w:rPr>
      </w:pPr>
      <w:r w:rsidRPr="003B72E1">
        <w:rPr>
          <w:rFonts w:ascii="Palatino Linotype" w:eastAsia="Calibri" w:hAnsi="Palatino Linotype" w:cs="Arial"/>
          <w:b/>
          <w:sz w:val="24"/>
          <w:szCs w:val="24"/>
        </w:rPr>
        <w:t>COMISIONADO</w:t>
      </w:r>
    </w:p>
    <w:p w:rsidR="00110A8D" w:rsidRDefault="00110A8D" w:rsidP="00110A8D">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(Rúbrica)</w:t>
      </w:r>
    </w:p>
    <w:p w:rsidR="003B72E1" w:rsidRPr="00D25878" w:rsidRDefault="003B72E1" w:rsidP="00575478">
      <w:pPr>
        <w:spacing w:line="360" w:lineRule="auto"/>
        <w:rPr>
          <w:rFonts w:ascii="Palatino Linotype" w:hAnsi="Palatino Linotype"/>
          <w:b/>
          <w:sz w:val="14"/>
          <w:szCs w:val="18"/>
        </w:rPr>
      </w:pPr>
      <w:r w:rsidRPr="00D25878">
        <w:rPr>
          <w:rFonts w:ascii="Palatino Linotype" w:eastAsia="Calibri" w:hAnsi="Palatino Linotype" w:cs="Arial"/>
          <w:b/>
          <w:sz w:val="20"/>
          <w:szCs w:val="24"/>
        </w:rPr>
        <w:t>JGLH/ADM</w:t>
      </w:r>
    </w:p>
    <w:sectPr w:rsidR="003B72E1" w:rsidRPr="00D25878" w:rsidSect="00DD7431">
      <w:headerReference w:type="even" r:id="rId9"/>
      <w:headerReference w:type="default" r:id="rId10"/>
      <w:footerReference w:type="default" r:id="rId11"/>
      <w:headerReference w:type="first" r:id="rId12"/>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F80" w:rsidRDefault="00267F80" w:rsidP="00E706DA">
      <w:pPr>
        <w:spacing w:after="0" w:line="240" w:lineRule="auto"/>
      </w:pPr>
      <w:r>
        <w:separator/>
      </w:r>
    </w:p>
  </w:endnote>
  <w:endnote w:type="continuationSeparator" w:id="0">
    <w:p w:rsidR="00267F80" w:rsidRDefault="00267F80"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A031BA">
              <w:rPr>
                <w:rFonts w:ascii="Palatino Linotype" w:hAnsi="Palatino Linotype"/>
                <w:b/>
                <w:bCs/>
                <w:noProof/>
                <w:sz w:val="20"/>
                <w:szCs w:val="20"/>
              </w:rPr>
              <w:t>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A031BA">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A031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F80" w:rsidRDefault="00267F80" w:rsidP="00E706DA">
      <w:pPr>
        <w:spacing w:after="0" w:line="240" w:lineRule="auto"/>
      </w:pPr>
      <w:r>
        <w:separator/>
      </w:r>
    </w:p>
  </w:footnote>
  <w:footnote w:type="continuationSeparator" w:id="0">
    <w:p w:rsidR="00267F80" w:rsidRDefault="00267F80" w:rsidP="00E706DA">
      <w:pPr>
        <w:spacing w:after="0" w:line="240" w:lineRule="auto"/>
      </w:pPr>
      <w:r>
        <w:continuationSeparator/>
      </w:r>
    </w:p>
  </w:footnote>
  <w:footnote w:id="1">
    <w:p w:rsidR="003B72E1" w:rsidRDefault="003B72E1" w:rsidP="003B72E1">
      <w:pPr>
        <w:pStyle w:val="Textonotapie"/>
      </w:pPr>
      <w:r>
        <w:rPr>
          <w:rStyle w:val="Refdenotaalpie"/>
        </w:rPr>
        <w:footnoteRef/>
      </w:r>
      <w:r>
        <w:t xml:space="preserve"> Tercer párrafo, artículo 1º, Constitución Política de los Estados Unidos Mexicanos.</w:t>
      </w:r>
    </w:p>
  </w:footnote>
  <w:footnote w:id="2">
    <w:p w:rsidR="003B72E1" w:rsidRDefault="003B72E1" w:rsidP="003B72E1">
      <w:pPr>
        <w:pStyle w:val="Textonotapie"/>
      </w:pPr>
      <w:r>
        <w:rPr>
          <w:rStyle w:val="Refdenotaalpie"/>
        </w:rPr>
        <w:footnoteRef/>
      </w:r>
      <w:r>
        <w:t xml:space="preserve"> Segundo Párrafo, artículo 6º, Constitución Política de los Estados Unidos Mexicanos.</w:t>
      </w:r>
    </w:p>
  </w:footnote>
  <w:footnote w:id="3">
    <w:p w:rsidR="003B72E1" w:rsidRDefault="003B72E1" w:rsidP="003B72E1">
      <w:pPr>
        <w:pStyle w:val="Textonotapie"/>
      </w:pPr>
      <w:r>
        <w:rPr>
          <w:rStyle w:val="Refdenotaalpie"/>
        </w:rPr>
        <w:footnoteRef/>
      </w:r>
      <w:r>
        <w:t xml:space="preserve"> Convención Americana sobre Derechos Humanos. Artículo 13.</w:t>
      </w:r>
    </w:p>
  </w:footnote>
  <w:footnote w:id="4">
    <w:p w:rsidR="003B72E1" w:rsidRDefault="003B72E1" w:rsidP="003B72E1">
      <w:pPr>
        <w:pStyle w:val="Textonotapie"/>
      </w:pPr>
      <w:r>
        <w:rPr>
          <w:rStyle w:val="Refdenotaalpie"/>
        </w:rPr>
        <w:footnoteRef/>
      </w:r>
      <w:r>
        <w:t xml:space="preserve"> Constitución Política de los Estados Unidos Mexicanos. Artículo sexto, sección A, Fracción I.</w:t>
      </w:r>
    </w:p>
  </w:footnote>
  <w:footnote w:id="5">
    <w:p w:rsidR="003B72E1" w:rsidRDefault="003B72E1" w:rsidP="003B72E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3B72E1" w:rsidRDefault="003B72E1" w:rsidP="003B72E1">
      <w:pPr>
        <w:pStyle w:val="Textonotapie"/>
      </w:pPr>
      <w:r>
        <w:rPr>
          <w:rStyle w:val="Refdenotaalpie"/>
        </w:rPr>
        <w:footnoteRef/>
      </w:r>
      <w:r>
        <w:t xml:space="preserve"> Ibídem. Párr. 87.</w:t>
      </w:r>
    </w:p>
  </w:footnote>
  <w:footnote w:id="7">
    <w:p w:rsidR="003B72E1" w:rsidRDefault="003B72E1" w:rsidP="003B72E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8">
    <w:p w:rsidR="003B72E1" w:rsidRDefault="003B72E1" w:rsidP="003B72E1">
      <w:pPr>
        <w:pStyle w:val="Textonotapie"/>
      </w:pPr>
      <w:r>
        <w:rPr>
          <w:rStyle w:val="Refdenotaalpie"/>
        </w:rPr>
        <w:footnoteRef/>
      </w:r>
      <w:r>
        <w:t xml:space="preserve"> Disponible para su consulta en </w:t>
      </w:r>
      <w:hyperlink r:id="rId2" w:history="1">
        <w:r w:rsidRPr="002D4563">
          <w:rPr>
            <w:rStyle w:val="Hipervnculo"/>
          </w:rPr>
          <w:t>http://legislacion.edomex.gob.mx/sites/legislacion.edomex.gob.mx/files/files/pdf/ley/vig/leyvig139.pdf</w:t>
        </w:r>
      </w:hyperlink>
    </w:p>
  </w:footnote>
  <w:footnote w:id="9">
    <w:p w:rsidR="003B72E1" w:rsidRDefault="003B72E1" w:rsidP="003B72E1">
      <w:pPr>
        <w:pStyle w:val="Textonotapie"/>
      </w:pPr>
      <w:r>
        <w:rPr>
          <w:rStyle w:val="Refdenotaalpie"/>
        </w:rPr>
        <w:footnoteRef/>
      </w:r>
      <w:r>
        <w:t xml:space="preserve"> Disponible para su consulta en </w:t>
      </w:r>
      <w:hyperlink r:id="rId3" w:history="1">
        <w:r w:rsidRPr="002D4563">
          <w:rPr>
            <w:rStyle w:val="Hipervnculo"/>
          </w:rPr>
          <w:t>http://legislacion.edomex.gob.mx/sites/legislacion.edomex.gob.mx/files/files/pdf/ley/vig/leyvig154.pdf</w:t>
        </w:r>
      </w:hyperlink>
    </w:p>
  </w:footnote>
  <w:footnote w:id="10">
    <w:p w:rsidR="003B72E1" w:rsidRDefault="003B72E1" w:rsidP="003B72E1">
      <w:pPr>
        <w:pStyle w:val="Textonotapie"/>
      </w:pPr>
      <w:r>
        <w:rPr>
          <w:rStyle w:val="Refdenotaalpie"/>
        </w:rPr>
        <w:footnoteRef/>
      </w:r>
      <w:r>
        <w:t xml:space="preserve"> Disponible para su consulta en </w:t>
      </w:r>
      <w:hyperlink r:id="rId4" w:history="1">
        <w:r w:rsidRPr="002D4563">
          <w:rPr>
            <w:rStyle w:val="Hipervnculo"/>
          </w:rPr>
          <w:t>http://legislacion.edomex.gob.mx/sites/legislacion.edomex.gob.mx/files/files/pdf/gct/2018/may105.pdf</w:t>
        </w:r>
      </w:hyperlink>
    </w:p>
  </w:footnote>
  <w:footnote w:id="11">
    <w:p w:rsidR="003B72E1" w:rsidRDefault="003B72E1" w:rsidP="003B72E1">
      <w:pPr>
        <w:pStyle w:val="Textonotapie"/>
      </w:pPr>
      <w:r>
        <w:rPr>
          <w:rStyle w:val="Refdenotaalpie"/>
        </w:rPr>
        <w:footnoteRef/>
      </w:r>
      <w:r>
        <w:t xml:space="preserve">Disponible en </w:t>
      </w:r>
      <w:hyperlink r:id="rId5" w:history="1">
        <w:r w:rsidRPr="003D5F17">
          <w:rPr>
            <w:rStyle w:val="Hipervnculo"/>
          </w:rPr>
          <w:t>https://www.ipomex.org.mx/ipo/lgt/indice/upvt/infoActividades/0.web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031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031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A031B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031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33151D"/>
    <w:multiLevelType w:val="hybridMultilevel"/>
    <w:tmpl w:val="416AE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19176B"/>
    <w:multiLevelType w:val="hybridMultilevel"/>
    <w:tmpl w:val="F3B86A6A"/>
    <w:lvl w:ilvl="0" w:tplc="7718566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4C7F654A"/>
    <w:multiLevelType w:val="hybridMultilevel"/>
    <w:tmpl w:val="29D2E88C"/>
    <w:lvl w:ilvl="0" w:tplc="044C434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
  </w:num>
  <w:num w:numId="3">
    <w:abstractNumId w:val="9"/>
  </w:num>
  <w:num w:numId="4">
    <w:abstractNumId w:val="11"/>
  </w:num>
  <w:num w:numId="5">
    <w:abstractNumId w:val="15"/>
  </w:num>
  <w:num w:numId="6">
    <w:abstractNumId w:val="17"/>
  </w:num>
  <w:num w:numId="7">
    <w:abstractNumId w:val="21"/>
  </w:num>
  <w:num w:numId="8">
    <w:abstractNumId w:val="19"/>
  </w:num>
  <w:num w:numId="9">
    <w:abstractNumId w:val="24"/>
  </w:num>
  <w:num w:numId="10">
    <w:abstractNumId w:val="3"/>
  </w:num>
  <w:num w:numId="11">
    <w:abstractNumId w:val="23"/>
  </w:num>
  <w:num w:numId="12">
    <w:abstractNumId w:val="10"/>
  </w:num>
  <w:num w:numId="13">
    <w:abstractNumId w:val="5"/>
  </w:num>
  <w:num w:numId="14">
    <w:abstractNumId w:val="8"/>
  </w:num>
  <w:num w:numId="15">
    <w:abstractNumId w:val="18"/>
  </w:num>
  <w:num w:numId="16">
    <w:abstractNumId w:val="1"/>
  </w:num>
  <w:num w:numId="17">
    <w:abstractNumId w:val="0"/>
  </w:num>
  <w:num w:numId="18">
    <w:abstractNumId w:val="13"/>
  </w:num>
  <w:num w:numId="19">
    <w:abstractNumId w:val="7"/>
  </w:num>
  <w:num w:numId="20">
    <w:abstractNumId w:val="20"/>
  </w:num>
  <w:num w:numId="21">
    <w:abstractNumId w:val="22"/>
  </w:num>
  <w:num w:numId="22">
    <w:abstractNumId w:val="6"/>
  </w:num>
  <w:num w:numId="23">
    <w:abstractNumId w:val="25"/>
  </w:num>
  <w:num w:numId="24">
    <w:abstractNumId w:val="4"/>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51B4"/>
    <w:rsid w:val="000A4B02"/>
    <w:rsid w:val="000A77B5"/>
    <w:rsid w:val="000A7B66"/>
    <w:rsid w:val="000D1743"/>
    <w:rsid w:val="000F6CBB"/>
    <w:rsid w:val="000F7162"/>
    <w:rsid w:val="0010615C"/>
    <w:rsid w:val="001102C3"/>
    <w:rsid w:val="00110A8D"/>
    <w:rsid w:val="00122625"/>
    <w:rsid w:val="001574EC"/>
    <w:rsid w:val="00166140"/>
    <w:rsid w:val="00194B6A"/>
    <w:rsid w:val="001A51F3"/>
    <w:rsid w:val="001C545F"/>
    <w:rsid w:val="001C62B2"/>
    <w:rsid w:val="001D3F34"/>
    <w:rsid w:val="001E0928"/>
    <w:rsid w:val="001E20CB"/>
    <w:rsid w:val="0020315F"/>
    <w:rsid w:val="002036ED"/>
    <w:rsid w:val="00214EC5"/>
    <w:rsid w:val="00225026"/>
    <w:rsid w:val="00242A80"/>
    <w:rsid w:val="00260D6C"/>
    <w:rsid w:val="002620E9"/>
    <w:rsid w:val="00267F80"/>
    <w:rsid w:val="00281310"/>
    <w:rsid w:val="002C1F75"/>
    <w:rsid w:val="002D6857"/>
    <w:rsid w:val="002E1956"/>
    <w:rsid w:val="0030241F"/>
    <w:rsid w:val="00333DB9"/>
    <w:rsid w:val="00343601"/>
    <w:rsid w:val="00346358"/>
    <w:rsid w:val="00346DBD"/>
    <w:rsid w:val="00347624"/>
    <w:rsid w:val="00362382"/>
    <w:rsid w:val="00367E00"/>
    <w:rsid w:val="003705BB"/>
    <w:rsid w:val="003747A5"/>
    <w:rsid w:val="00386688"/>
    <w:rsid w:val="00393E96"/>
    <w:rsid w:val="003B72E1"/>
    <w:rsid w:val="003C4F79"/>
    <w:rsid w:val="003D7B9E"/>
    <w:rsid w:val="00412952"/>
    <w:rsid w:val="00424DE3"/>
    <w:rsid w:val="00444048"/>
    <w:rsid w:val="00452F18"/>
    <w:rsid w:val="0046491C"/>
    <w:rsid w:val="00471ACB"/>
    <w:rsid w:val="0048490F"/>
    <w:rsid w:val="004C6BBF"/>
    <w:rsid w:val="00525DF2"/>
    <w:rsid w:val="00532410"/>
    <w:rsid w:val="005748DC"/>
    <w:rsid w:val="00575478"/>
    <w:rsid w:val="005A3267"/>
    <w:rsid w:val="005D4F74"/>
    <w:rsid w:val="005F6A90"/>
    <w:rsid w:val="00634736"/>
    <w:rsid w:val="00643C7E"/>
    <w:rsid w:val="006728FD"/>
    <w:rsid w:val="0069498B"/>
    <w:rsid w:val="006D268B"/>
    <w:rsid w:val="00702BD9"/>
    <w:rsid w:val="0071343D"/>
    <w:rsid w:val="00717C0D"/>
    <w:rsid w:val="0072136B"/>
    <w:rsid w:val="0076241F"/>
    <w:rsid w:val="00770016"/>
    <w:rsid w:val="00790E37"/>
    <w:rsid w:val="007A7FAD"/>
    <w:rsid w:val="007C43FB"/>
    <w:rsid w:val="007D1488"/>
    <w:rsid w:val="00814E97"/>
    <w:rsid w:val="00817341"/>
    <w:rsid w:val="0082452E"/>
    <w:rsid w:val="008361CA"/>
    <w:rsid w:val="008460C4"/>
    <w:rsid w:val="00847389"/>
    <w:rsid w:val="00850252"/>
    <w:rsid w:val="00856FA1"/>
    <w:rsid w:val="008702E8"/>
    <w:rsid w:val="008822B3"/>
    <w:rsid w:val="008858F1"/>
    <w:rsid w:val="008911CF"/>
    <w:rsid w:val="008977B4"/>
    <w:rsid w:val="008B03B6"/>
    <w:rsid w:val="008E1DCC"/>
    <w:rsid w:val="008F3E81"/>
    <w:rsid w:val="00900E75"/>
    <w:rsid w:val="00902248"/>
    <w:rsid w:val="009156AC"/>
    <w:rsid w:val="00927C4F"/>
    <w:rsid w:val="00937AD9"/>
    <w:rsid w:val="00937D7D"/>
    <w:rsid w:val="0094239C"/>
    <w:rsid w:val="00950792"/>
    <w:rsid w:val="0099266A"/>
    <w:rsid w:val="009A3355"/>
    <w:rsid w:val="009A5396"/>
    <w:rsid w:val="009B4D48"/>
    <w:rsid w:val="009C4EF6"/>
    <w:rsid w:val="009D2892"/>
    <w:rsid w:val="009E3A26"/>
    <w:rsid w:val="00A031BA"/>
    <w:rsid w:val="00A043A9"/>
    <w:rsid w:val="00A414BE"/>
    <w:rsid w:val="00A626F8"/>
    <w:rsid w:val="00A63717"/>
    <w:rsid w:val="00AA49F3"/>
    <w:rsid w:val="00AB023D"/>
    <w:rsid w:val="00AB126B"/>
    <w:rsid w:val="00AC381E"/>
    <w:rsid w:val="00AE4797"/>
    <w:rsid w:val="00AE5BD5"/>
    <w:rsid w:val="00B120CA"/>
    <w:rsid w:val="00B62245"/>
    <w:rsid w:val="00B8686D"/>
    <w:rsid w:val="00B951FF"/>
    <w:rsid w:val="00BC7B0C"/>
    <w:rsid w:val="00BF2070"/>
    <w:rsid w:val="00BF3534"/>
    <w:rsid w:val="00C3709F"/>
    <w:rsid w:val="00C41CE1"/>
    <w:rsid w:val="00C7250F"/>
    <w:rsid w:val="00C872FA"/>
    <w:rsid w:val="00C901A6"/>
    <w:rsid w:val="00CE0823"/>
    <w:rsid w:val="00CF2F92"/>
    <w:rsid w:val="00CF52FE"/>
    <w:rsid w:val="00D1242B"/>
    <w:rsid w:val="00D15396"/>
    <w:rsid w:val="00D23B79"/>
    <w:rsid w:val="00D25878"/>
    <w:rsid w:val="00D33AF9"/>
    <w:rsid w:val="00D363F7"/>
    <w:rsid w:val="00D5296C"/>
    <w:rsid w:val="00D72985"/>
    <w:rsid w:val="00D7508B"/>
    <w:rsid w:val="00DB7D4E"/>
    <w:rsid w:val="00DD7431"/>
    <w:rsid w:val="00DF6F7E"/>
    <w:rsid w:val="00E34F08"/>
    <w:rsid w:val="00E61AB8"/>
    <w:rsid w:val="00E706DA"/>
    <w:rsid w:val="00E83E93"/>
    <w:rsid w:val="00E90EB5"/>
    <w:rsid w:val="00E94FBF"/>
    <w:rsid w:val="00EF0C2D"/>
    <w:rsid w:val="00F40D92"/>
    <w:rsid w:val="00F45161"/>
    <w:rsid w:val="00F46E78"/>
    <w:rsid w:val="00F5642A"/>
    <w:rsid w:val="00F747F8"/>
    <w:rsid w:val="00F857BC"/>
    <w:rsid w:val="00F86F26"/>
    <w:rsid w:val="00FC5012"/>
    <w:rsid w:val="00FE6326"/>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B72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166140"/>
    <w:pPr>
      <w:tabs>
        <w:tab w:val="left" w:pos="440"/>
        <w:tab w:val="right" w:leader="dot" w:pos="8828"/>
      </w:tabs>
      <w:spacing w:after="100" w:line="48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3B72E1"/>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3B72E1"/>
    <w:pPr>
      <w:spacing w:after="100"/>
      <w:ind w:left="220"/>
    </w:pPr>
  </w:style>
  <w:style w:type="character" w:customStyle="1" w:styleId="SinespaciadoCar">
    <w:name w:val="Sin espaciado Car"/>
    <w:aliases w:val="Francesa Car"/>
    <w:link w:val="Sinespaciado"/>
    <w:uiPriority w:val="1"/>
    <w:locked/>
    <w:rsid w:val="001E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ley/vig/leyvig154.pdf" TargetMode="External"/><Relationship Id="rId2" Type="http://schemas.openxmlformats.org/officeDocument/2006/relationships/hyperlink" Target="http://legislacion.edomex.gob.mx/sites/legislacion.edomex.gob.mx/files/files/pdf/ley/vig/leyvig139.pdf" TargetMode="External"/><Relationship Id="rId1" Type="http://schemas.openxmlformats.org/officeDocument/2006/relationships/hyperlink" Target="http://www.oas.org/es/cidh/expresion/documentos_basicos/declaraciones.asp" TargetMode="External"/><Relationship Id="rId5" Type="http://schemas.openxmlformats.org/officeDocument/2006/relationships/hyperlink" Target="https://www.ipomex.org.mx/ipo/lgt/indice/upvt/infoActividades/0.web" TargetMode="External"/><Relationship Id="rId4" Type="http://schemas.openxmlformats.org/officeDocument/2006/relationships/hyperlink" Target="http://legislacion.edomex.gob.mx/sites/legislacion.edomex.gob.mx/files/files/pdf/gct/2018/may10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C0CC-2702-42B2-B3D7-0CE281E1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2685</Words>
  <Characters>14773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2019-01-14T23:39:00Z</cp:lastPrinted>
  <dcterms:created xsi:type="dcterms:W3CDTF">2019-03-29T18:41:00Z</dcterms:created>
  <dcterms:modified xsi:type="dcterms:W3CDTF">2019-03-29T18:41:00Z</dcterms:modified>
</cp:coreProperties>
</file>